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7224" w14:textId="77777777" w:rsidR="001B4CFE" w:rsidRPr="00DF16AC" w:rsidRDefault="001B4CFE" w:rsidP="001B4CFE">
      <w:pPr>
        <w:pStyle w:val="NormalWeb"/>
        <w:rPr>
          <w:rStyle w:val="Strong"/>
        </w:rPr>
      </w:pPr>
    </w:p>
    <w:p w14:paraId="4FA4DA72" w14:textId="05B0FD4B" w:rsidR="00B67A24" w:rsidRPr="00DF16AC" w:rsidRDefault="00B67A24" w:rsidP="001B4CFE">
      <w:pPr>
        <w:pStyle w:val="NormalWeb"/>
        <w:jc w:val="center"/>
        <w:rPr>
          <w:rStyle w:val="Strong"/>
          <w:sz w:val="32"/>
          <w:szCs w:val="32"/>
        </w:rPr>
      </w:pPr>
      <w:r w:rsidRPr="00DF16AC">
        <w:rPr>
          <w:b/>
          <w:bCs/>
          <w:sz w:val="32"/>
          <w:szCs w:val="32"/>
        </w:rPr>
        <w:t>Idei, soluții și parteneriate pentru tineri: Murcia a găzduit cel de-al doilea eveniment interregional „ForYouth”</w:t>
      </w:r>
      <w:r w:rsidRPr="00DF16AC">
        <w:rPr>
          <w:rStyle w:val="Strong"/>
          <w:sz w:val="32"/>
          <w:szCs w:val="32"/>
        </w:rPr>
        <w:t xml:space="preserve"> </w:t>
      </w:r>
    </w:p>
    <w:p w14:paraId="4A177D64" w14:textId="368D12EF" w:rsidR="001B4CFE" w:rsidRPr="00DF16AC" w:rsidRDefault="001B4CFE" w:rsidP="001B4CFE">
      <w:pPr>
        <w:pStyle w:val="NormalWeb"/>
      </w:pPr>
      <w:r w:rsidRPr="00DF16AC">
        <w:br/>
      </w:r>
      <w:r w:rsidRPr="00DF16AC">
        <w:rPr>
          <w:rStyle w:val="Strong"/>
        </w:rPr>
        <w:t xml:space="preserve">Data: </w:t>
      </w:r>
      <w:r w:rsidR="00C92731" w:rsidRPr="00DF16AC">
        <w:rPr>
          <w:rStyle w:val="Strong"/>
        </w:rPr>
        <w:t>27</w:t>
      </w:r>
      <w:r w:rsidRPr="00DF16AC">
        <w:rPr>
          <w:rStyle w:val="Strong"/>
        </w:rPr>
        <w:t xml:space="preserve"> </w:t>
      </w:r>
      <w:r w:rsidR="00C92731" w:rsidRPr="00DF16AC">
        <w:rPr>
          <w:rStyle w:val="Strong"/>
        </w:rPr>
        <w:t>martie</w:t>
      </w:r>
      <w:r w:rsidRPr="00DF16AC">
        <w:rPr>
          <w:rStyle w:val="Strong"/>
        </w:rPr>
        <w:t xml:space="preserve"> 202</w:t>
      </w:r>
      <w:r w:rsidR="00C92731" w:rsidRPr="00DF16AC">
        <w:rPr>
          <w:rStyle w:val="Strong"/>
        </w:rPr>
        <w:t>6</w:t>
      </w:r>
    </w:p>
    <w:p w14:paraId="1DE11133" w14:textId="3DFD9A45" w:rsidR="00B67A24" w:rsidRPr="00B67A24" w:rsidRDefault="00B67A24" w:rsidP="00B67A24">
      <w:pPr>
        <w:widowControl/>
        <w:spacing w:before="100" w:beforeAutospacing="1" w:after="100" w:afterAutospacing="1"/>
        <w:rPr>
          <w:rFonts w:ascii="Times New Roman" w:eastAsia="Times New Roman" w:hAnsi="Times New Roman" w:cs="Times New Roman"/>
          <w:sz w:val="24"/>
          <w:szCs w:val="24"/>
          <w:lang w:val="ro-RO"/>
        </w:rPr>
      </w:pPr>
      <w:r w:rsidRPr="00B67A24">
        <w:rPr>
          <w:rFonts w:ascii="Times New Roman" w:eastAsia="Times New Roman" w:hAnsi="Times New Roman" w:cs="Times New Roman"/>
          <w:sz w:val="24"/>
          <w:szCs w:val="24"/>
          <w:lang w:val="ro-RO"/>
        </w:rPr>
        <w:t>În perioada 24–25 martie 2026, municipiul Murcia (Spania) a fost gazda celui de-al doilea eveniment interregional din cadrul proiectului Interreg Europe „ForYouth”, reunind reprezentanți din șapte regiuni partenere europene.</w:t>
      </w:r>
      <w:r w:rsidRPr="00DF16AC">
        <w:rPr>
          <w:rFonts w:ascii="Times New Roman" w:eastAsia="Times New Roman" w:hAnsi="Times New Roman" w:cs="Times New Roman"/>
          <w:sz w:val="24"/>
          <w:szCs w:val="24"/>
          <w:lang w:val="ro-RO"/>
        </w:rPr>
        <w:t xml:space="preserve"> </w:t>
      </w:r>
      <w:r w:rsidRPr="00B67A24">
        <w:rPr>
          <w:rFonts w:ascii="Times New Roman" w:eastAsia="Times New Roman" w:hAnsi="Times New Roman" w:cs="Times New Roman"/>
          <w:sz w:val="24"/>
          <w:szCs w:val="24"/>
          <w:lang w:val="ro-RO"/>
        </w:rPr>
        <w:t>Evenimentul a oferit un cadru activ de colaborare și schimb de experiență, participanții având oportunitatea de a explora soluții inovatoare și bune practici pentru creșterea implicării tinerilor în comunitate.</w:t>
      </w:r>
    </w:p>
    <w:p w14:paraId="132EA52D" w14:textId="73941E27" w:rsidR="00C92731" w:rsidRPr="00DF16AC" w:rsidRDefault="00972266" w:rsidP="001B4CFE">
      <w:pPr>
        <w:pStyle w:val="NormalWeb"/>
      </w:pPr>
      <w:r w:rsidRPr="00DF16AC">
        <w:t>P</w:t>
      </w:r>
      <w:r w:rsidR="00C92731" w:rsidRPr="00DF16AC">
        <w:t>rima zi</w:t>
      </w:r>
      <w:r w:rsidRPr="00DF16AC">
        <w:t xml:space="preserve"> </w:t>
      </w:r>
      <w:r w:rsidRPr="00DF16AC">
        <w:t>a fost dedicată schimbului de cunoștințe și guvernanței proiectului</w:t>
      </w:r>
      <w:r w:rsidRPr="00DF16AC">
        <w:t>. P</w:t>
      </w:r>
      <w:r w:rsidR="00C92731" w:rsidRPr="00DF16AC">
        <w:t xml:space="preserve">articipanții au fost întâmpinați de </w:t>
      </w:r>
      <w:r w:rsidR="00A06356" w:rsidRPr="00DF16AC">
        <w:t xml:space="preserve">echipa Primăriei municipiului Murcia </w:t>
      </w:r>
      <w:r w:rsidR="00980313" w:rsidRPr="00DF16AC">
        <w:t>care, în cadrul unei conferințe de presă, a salutat par</w:t>
      </w:r>
      <w:r w:rsidR="00A06356" w:rsidRPr="00DF16AC">
        <w:t>tenerii</w:t>
      </w:r>
      <w:r w:rsidR="00980313" w:rsidRPr="00DF16AC">
        <w:t>,</w:t>
      </w:r>
      <w:r w:rsidR="00C92731" w:rsidRPr="00DF16AC">
        <w:t xml:space="preserve"> </w:t>
      </w:r>
      <w:r w:rsidR="00980313" w:rsidRPr="00DF16AC">
        <w:t xml:space="preserve">prezentând </w:t>
      </w:r>
      <w:r w:rsidR="00C92731" w:rsidRPr="00DF16AC">
        <w:t>inițiativel</w:t>
      </w:r>
      <w:r w:rsidR="00980313" w:rsidRPr="00DF16AC">
        <w:t>e</w:t>
      </w:r>
      <w:r w:rsidR="00C92731" w:rsidRPr="00DF16AC">
        <w:t xml:space="preserve"> </w:t>
      </w:r>
      <w:r w:rsidR="00980313" w:rsidRPr="00DF16AC">
        <w:t xml:space="preserve">realizate la nivel local. </w:t>
      </w:r>
    </w:p>
    <w:p w14:paraId="2D99D420" w14:textId="77777777" w:rsidR="00DF16AC" w:rsidRPr="00DF16AC" w:rsidRDefault="00B67A24" w:rsidP="00DF16AC">
      <w:pPr>
        <w:widowControl/>
        <w:spacing w:before="100" w:beforeAutospacing="1" w:after="100" w:afterAutospacing="1"/>
        <w:rPr>
          <w:rFonts w:ascii="Times New Roman" w:eastAsia="Times New Roman" w:hAnsi="Times New Roman" w:cs="Times New Roman"/>
          <w:sz w:val="24"/>
          <w:szCs w:val="24"/>
          <w:lang w:val="ro-RO"/>
        </w:rPr>
      </w:pPr>
      <w:r w:rsidRPr="00B67A24">
        <w:rPr>
          <w:rFonts w:ascii="Times New Roman" w:eastAsia="Times New Roman" w:hAnsi="Times New Roman" w:cs="Times New Roman"/>
          <w:sz w:val="24"/>
          <w:szCs w:val="24"/>
          <w:lang w:val="ro-RO"/>
        </w:rPr>
        <w:t>Programul a continuat într-un centru de tineret din municipiu, unde au fost analizate activitățile recente și cele în curs de implementare în cadrul proiectului. De asemenea, participanții au luat parte la un seminar tematic susținut de Universitatea din Bratislava, partener consultativ al proiectului, în cadrul căruia au fost prezentate șapte exemple relevante de bune practici în domeniul implicării tinerilor</w:t>
      </w:r>
      <w:r w:rsidRPr="00DF16AC">
        <w:rPr>
          <w:rFonts w:ascii="Times New Roman" w:eastAsia="Times New Roman" w:hAnsi="Times New Roman" w:cs="Times New Roman"/>
          <w:sz w:val="24"/>
          <w:szCs w:val="24"/>
          <w:lang w:val="ro-RO"/>
        </w:rPr>
        <w:t>:</w:t>
      </w:r>
    </w:p>
    <w:p w14:paraId="34F2EACB" w14:textId="37B4C943" w:rsidR="00B67A24" w:rsidRPr="00DF16AC" w:rsidRDefault="00B67A24" w:rsidP="00DF16AC">
      <w:pPr>
        <w:pStyle w:val="ListParagraph"/>
        <w:widowControl/>
        <w:numPr>
          <w:ilvl w:val="0"/>
          <w:numId w:val="4"/>
        </w:numPr>
        <w:spacing w:before="100" w:beforeAutospacing="1" w:after="100" w:afterAutospacing="1"/>
        <w:rPr>
          <w:rFonts w:ascii="Times New Roman" w:eastAsia="Times New Roman" w:hAnsi="Times New Roman" w:cs="Times New Roman"/>
          <w:b/>
          <w:bCs/>
          <w:sz w:val="24"/>
          <w:szCs w:val="24"/>
          <w:lang w:val="ro-RO"/>
        </w:rPr>
      </w:pPr>
      <w:r w:rsidRPr="00DF16AC">
        <w:rPr>
          <w:rFonts w:ascii="Times New Roman" w:hAnsi="Times New Roman" w:cs="Times New Roman"/>
          <w:b/>
          <w:bCs/>
          <w:sz w:val="24"/>
          <w:szCs w:val="24"/>
        </w:rPr>
        <w:t>Comunitatea Intermunicipală Beira Baixa</w:t>
      </w:r>
    </w:p>
    <w:p w14:paraId="00136190" w14:textId="77777777" w:rsidR="00DF16AC" w:rsidRPr="00DF16AC" w:rsidRDefault="00B67A24" w:rsidP="00DF16AC">
      <w:pPr>
        <w:pStyle w:val="NormalWeb"/>
      </w:pPr>
      <w:r w:rsidRPr="00DF16AC">
        <w:t xml:space="preserve">Comunitatea Intermunicipală Beira Baixa </w:t>
      </w:r>
      <w:r w:rsidRPr="00DF16AC">
        <w:t>are organizat un Consiliu municipal al tinerilor</w:t>
      </w:r>
      <w:r w:rsidR="00DF16AC" w:rsidRPr="00DF16AC">
        <w:t>,</w:t>
      </w:r>
      <w:r w:rsidR="00DF16AC" w:rsidRPr="00DF16AC">
        <w:t xml:space="preserve"> un organism consultativ reglementat prin legislația națională, care facilitează implicarea tinerilor în procesul decizional la nivel local. Acesta reunește autorități publice și reprezentanți ai tinerilor, promovând dialogul, participarea civică și implicarea activă în comunitate.</w:t>
      </w:r>
    </w:p>
    <w:p w14:paraId="4719ABDE" w14:textId="7879F962" w:rsidR="00B67A24" w:rsidRPr="00DF16AC" w:rsidRDefault="00B67A24" w:rsidP="00DF16AC">
      <w:pPr>
        <w:pStyle w:val="NormalWeb"/>
        <w:numPr>
          <w:ilvl w:val="0"/>
          <w:numId w:val="4"/>
        </w:numPr>
        <w:rPr>
          <w:b/>
          <w:bCs/>
        </w:rPr>
      </w:pPr>
      <w:r w:rsidRPr="00DF16AC">
        <w:rPr>
          <w:b/>
          <w:bCs/>
        </w:rPr>
        <w:t xml:space="preserve">Municipiul </w:t>
      </w:r>
      <w:r w:rsidRPr="00DF16AC">
        <w:rPr>
          <w:b/>
          <w:bCs/>
        </w:rPr>
        <w:t xml:space="preserve">Alba Iulia </w:t>
      </w:r>
    </w:p>
    <w:p w14:paraId="78F761CC" w14:textId="77777777" w:rsidR="00DF16AC" w:rsidRPr="00DF16AC" w:rsidRDefault="00B67A24" w:rsidP="00DF16AC">
      <w:pPr>
        <w:pStyle w:val="NormalWeb"/>
      </w:pPr>
      <w:r w:rsidRPr="00DF16AC">
        <w:t xml:space="preserve">În România, Direcția de Sănătate Publică, inclusiv la nivel local în Alba Iulia, desfășoară campanii de promovare a sănătății adaptate pentru tineri, cu accent pe implicare activă și metode interactive. Activitățile includ jocuri de rol, exerciții creative și discuții deschise, în special pe tema sănătății mintale. Aceste metode cresc interesul și participarea elevilor, contribuind la dezvoltarea abilităților de gestionare a situațiilor dificile. </w:t>
      </w:r>
    </w:p>
    <w:p w14:paraId="3885DD0F" w14:textId="646E5D1F" w:rsidR="00B67A24" w:rsidRPr="00DF16AC" w:rsidRDefault="00B67A24" w:rsidP="00DF16AC">
      <w:pPr>
        <w:pStyle w:val="NormalWeb"/>
        <w:numPr>
          <w:ilvl w:val="0"/>
          <w:numId w:val="4"/>
        </w:numPr>
        <w:rPr>
          <w:b/>
          <w:bCs/>
        </w:rPr>
      </w:pPr>
      <w:r w:rsidRPr="00DF16AC">
        <w:rPr>
          <w:b/>
          <w:bCs/>
        </w:rPr>
        <w:t>Municipiul Murcia</w:t>
      </w:r>
    </w:p>
    <w:p w14:paraId="0F67CBD5" w14:textId="77777777" w:rsidR="00DF16AC" w:rsidRPr="00DF16AC" w:rsidRDefault="00B67A24" w:rsidP="00DF16AC">
      <w:pPr>
        <w:pStyle w:val="NormalWeb"/>
      </w:pPr>
      <w:r w:rsidRPr="00DF16AC">
        <w:t xml:space="preserve">Municipiul Murcia dezvoltă spații și centre de tineret multifuncționale care oferă oportunități pentru educație, creativitate și participare activă. Tinerii pot participa la cursuri, ateliere, activități culturale și proiecte comunitare, într-un mediu sigur și participativ. Centrele sprijină </w:t>
      </w:r>
      <w:r w:rsidRPr="00DF16AC">
        <w:lastRenderedPageBreak/>
        <w:t xml:space="preserve">inițiativele tinerilor și colaborarea cu organizații locale, având un impact semnificativ, demonstrat prin zeci de mii de participanți anual. </w:t>
      </w:r>
    </w:p>
    <w:p w14:paraId="54F08E2A" w14:textId="4534A341" w:rsidR="00B67A24" w:rsidRPr="00DF16AC" w:rsidRDefault="00B67A24" w:rsidP="00DF16AC">
      <w:pPr>
        <w:pStyle w:val="NormalWeb"/>
        <w:numPr>
          <w:ilvl w:val="0"/>
          <w:numId w:val="4"/>
        </w:numPr>
        <w:rPr>
          <w:b/>
          <w:bCs/>
        </w:rPr>
      </w:pPr>
      <w:r w:rsidRPr="00DF16AC">
        <w:rPr>
          <w:b/>
          <w:bCs/>
        </w:rPr>
        <w:t>Orașul Šibenik</w:t>
      </w:r>
    </w:p>
    <w:p w14:paraId="1A46A7B2" w14:textId="77777777" w:rsidR="00DF16AC" w:rsidRPr="00DF16AC" w:rsidRDefault="00B67A24" w:rsidP="00DF16AC">
      <w:pPr>
        <w:pStyle w:val="NormalWeb"/>
      </w:pPr>
      <w:r w:rsidRPr="00DF16AC">
        <w:t xml:space="preserve">Orașul Šibenik promovează implicarea tinerilor prin Centrul de Inovație Trokut, un hub dedicat antreprenoriatului, educației și tehnologiei. Acesta oferă programe de formare, mentorat și oportunități de networking pentru tineri și startup-uri. Prin inițiative precum Trokut Academy, tinerii dobândesc competențe practice și sprijin pentru dezvoltarea ideilor de afaceri, contribuind la consolidarea ecosistemului antreprenorial local. </w:t>
      </w:r>
    </w:p>
    <w:p w14:paraId="44DBC7D4" w14:textId="47C98D83" w:rsidR="00B67A24" w:rsidRPr="00DF16AC" w:rsidRDefault="00B67A24" w:rsidP="00DF16AC">
      <w:pPr>
        <w:pStyle w:val="NormalWeb"/>
        <w:numPr>
          <w:ilvl w:val="0"/>
          <w:numId w:val="4"/>
        </w:numPr>
        <w:rPr>
          <w:b/>
          <w:bCs/>
        </w:rPr>
      </w:pPr>
      <w:r w:rsidRPr="00DF16AC">
        <w:rPr>
          <w:b/>
          <w:bCs/>
        </w:rPr>
        <w:t>Primăria satului Sireți</w:t>
      </w:r>
    </w:p>
    <w:p w14:paraId="586E1A1C" w14:textId="6205B8E4" w:rsidR="00DF16AC" w:rsidRPr="00DF16AC" w:rsidRDefault="00B67A24" w:rsidP="00DF16AC">
      <w:pPr>
        <w:pStyle w:val="NormalWeb"/>
      </w:pPr>
      <w:r w:rsidRPr="00DF16AC">
        <w:t xml:space="preserve">În </w:t>
      </w:r>
      <w:r w:rsidRPr="00DF16AC">
        <w:t>Republica Moldova,</w:t>
      </w:r>
      <w:r w:rsidRPr="00DF16AC">
        <w:t xml:space="preserve"> Consiliile Elevilor </w:t>
      </w:r>
      <w:r w:rsidR="00DF16AC" w:rsidRPr="00DF16AC">
        <w:t xml:space="preserve">din cele 1000 de instituții de învățământ </w:t>
      </w:r>
      <w:r w:rsidR="00DF16AC" w:rsidRPr="00DF16AC">
        <w:t>reprezintă un mecanism național de participare democratică, care implică elevii în procesul decizional încă din perioada școlară, prin structuri organizate la nivel școlar, raional și național. Modelul este susținut prin alegeri democratice la scară largă și un program național care oferă formare, mentorat și finanțare, facilitând dialogul direct dintre elevi și autorități.</w:t>
      </w:r>
    </w:p>
    <w:p w14:paraId="46C8C058" w14:textId="776AD4AE" w:rsidR="00B67A24" w:rsidRPr="00DF16AC" w:rsidRDefault="00B67A24" w:rsidP="00DF16AC">
      <w:pPr>
        <w:pStyle w:val="NormalWeb"/>
        <w:numPr>
          <w:ilvl w:val="0"/>
          <w:numId w:val="4"/>
        </w:numPr>
        <w:rPr>
          <w:b/>
          <w:bCs/>
        </w:rPr>
      </w:pPr>
      <w:r w:rsidRPr="00DF16AC">
        <w:rPr>
          <w:b/>
          <w:bCs/>
        </w:rPr>
        <w:t>Orașul Magdeburg</w:t>
      </w:r>
    </w:p>
    <w:p w14:paraId="277F5397" w14:textId="77777777" w:rsidR="00DF16AC" w:rsidRPr="00DF16AC" w:rsidRDefault="00B67A24" w:rsidP="00DF16AC">
      <w:pPr>
        <w:pStyle w:val="NormalWeb"/>
      </w:pPr>
      <w:r w:rsidRPr="00DF16AC">
        <w:t xml:space="preserve">Orașul Magdeburg implementează programe dedicate fetelor și tinerelor prin grupuri de lucru interdisciplinare care promovează egalitatea de gen și dezvoltarea personală. Activitățile includ ateliere, evenimente educaționale și campanii de conștientizare, desfășurate în școli și centre de tineret. Inițiativa a creat o rețea solidă de colaborare și a contribuit la schimbarea percepțiilor privind rolurile de gen, implicând anual numeroase participante. </w:t>
      </w:r>
    </w:p>
    <w:p w14:paraId="57D673F0" w14:textId="4AB5475B" w:rsidR="00B67A24" w:rsidRPr="00DF16AC" w:rsidRDefault="00B67A24" w:rsidP="00DF16AC">
      <w:pPr>
        <w:pStyle w:val="NormalWeb"/>
        <w:numPr>
          <w:ilvl w:val="0"/>
          <w:numId w:val="4"/>
        </w:numPr>
        <w:rPr>
          <w:b/>
          <w:bCs/>
        </w:rPr>
      </w:pPr>
      <w:r w:rsidRPr="00DF16AC">
        <w:rPr>
          <w:b/>
          <w:bCs/>
        </w:rPr>
        <w:t>Municipalitatea Storfors</w:t>
      </w:r>
    </w:p>
    <w:p w14:paraId="2E444EB9" w14:textId="503ED5E2" w:rsidR="00B67A24" w:rsidRPr="00DF16AC" w:rsidRDefault="00B67A24" w:rsidP="00B67A24">
      <w:pPr>
        <w:pStyle w:val="NormalWeb"/>
      </w:pPr>
      <w:r w:rsidRPr="00DF16AC">
        <w:t xml:space="preserve">Municipalitatea Storfors a dezvoltat inițiativa „Youth Ambassadors”, prin care tinerii sunt implicați direct în organizarea activităților comunitare. Aceștia colaborează cu autoritățile locale pentru a crea și promova evenimente destinate altor tineri, contribuind la creșterea participării și la o mai bună conectare între administrație și comunitate. Modelul se bazează pe co-creare și demonstrează eficiența implicării tinerilor ca parteneri activi. </w:t>
      </w:r>
    </w:p>
    <w:p w14:paraId="67D28017" w14:textId="77777777" w:rsidR="00B67A24" w:rsidRPr="00DF16AC" w:rsidRDefault="00B67A24" w:rsidP="001B4CFE">
      <w:pPr>
        <w:pStyle w:val="NormalWeb"/>
      </w:pPr>
      <w:r w:rsidRPr="00DF16AC">
        <w:t>De asemenea, î</w:t>
      </w:r>
      <w:r w:rsidRPr="00DF16AC">
        <w:t xml:space="preserve">n cadrul sesiunilor, </w:t>
      </w:r>
      <w:r w:rsidRPr="00DF16AC">
        <w:t xml:space="preserve">echipa Primăriei din municipiul Murcia </w:t>
      </w:r>
      <w:r w:rsidRPr="00DF16AC">
        <w:t>a prezentat cadrul de reglementare privind participarea tinerilor</w:t>
      </w:r>
      <w:r w:rsidRPr="00DF16AC">
        <w:t xml:space="preserve"> în activități</w:t>
      </w:r>
      <w:r w:rsidRPr="00DF16AC">
        <w:t>, oferind o perspectivă asupra politicilor și mecanismelor instituționale care sprijină implicarea activă a tinerilor la nivel național și local.</w:t>
      </w:r>
    </w:p>
    <w:p w14:paraId="4C1A2E8E" w14:textId="77777777" w:rsidR="00DF16AC" w:rsidRPr="00DF16AC" w:rsidRDefault="00B67A24" w:rsidP="00B67A24">
      <w:pPr>
        <w:widowControl/>
        <w:spacing w:before="100" w:beforeAutospacing="1" w:after="100" w:afterAutospacing="1"/>
        <w:rPr>
          <w:rFonts w:ascii="Times New Roman" w:eastAsia="Times New Roman" w:hAnsi="Times New Roman" w:cs="Times New Roman"/>
          <w:sz w:val="24"/>
          <w:szCs w:val="24"/>
          <w:lang w:val="ro-RO"/>
        </w:rPr>
      </w:pPr>
      <w:r w:rsidRPr="00B67A24">
        <w:rPr>
          <w:rFonts w:ascii="Times New Roman" w:eastAsia="Times New Roman" w:hAnsi="Times New Roman" w:cs="Times New Roman"/>
          <w:sz w:val="24"/>
          <w:szCs w:val="24"/>
          <w:lang w:val="ro-RO"/>
        </w:rPr>
        <w:t>În cea de-a doua zi, programul a continuat cu alte două vizite de studiu la două dintre cele trei centre de tineret din Murcia, care promovează incluziunea și implicarea activă a tinerilor.</w:t>
      </w:r>
    </w:p>
    <w:p w14:paraId="406DEE00" w14:textId="77777777" w:rsidR="00DF16AC" w:rsidRPr="00DF16AC" w:rsidRDefault="00B67A24" w:rsidP="00B67A24">
      <w:pPr>
        <w:pStyle w:val="ListParagraph"/>
        <w:widowControl/>
        <w:numPr>
          <w:ilvl w:val="0"/>
          <w:numId w:val="4"/>
        </w:numPr>
        <w:spacing w:before="100" w:beforeAutospacing="1" w:after="100" w:afterAutospacing="1"/>
        <w:rPr>
          <w:rFonts w:ascii="Times New Roman" w:eastAsia="Times New Roman" w:hAnsi="Times New Roman" w:cs="Times New Roman"/>
          <w:sz w:val="24"/>
          <w:szCs w:val="24"/>
          <w:lang w:val="ro-RO"/>
        </w:rPr>
      </w:pPr>
      <w:r w:rsidRPr="00DF16AC">
        <w:rPr>
          <w:rFonts w:ascii="Times New Roman" w:eastAsia="Times New Roman" w:hAnsi="Times New Roman" w:cs="Times New Roman"/>
          <w:b/>
          <w:bCs/>
          <w:sz w:val="24"/>
          <w:szCs w:val="24"/>
          <w:lang w:val="ro-RO"/>
        </w:rPr>
        <w:t>Spațiul 585 – Centrul de tineret pentru asistență psihologică și ghidare</w:t>
      </w:r>
      <w:r w:rsidRPr="00DF16AC">
        <w:rPr>
          <w:rFonts w:ascii="Times New Roman" w:eastAsia="Times New Roman" w:hAnsi="Times New Roman" w:cs="Times New Roman"/>
          <w:sz w:val="24"/>
          <w:szCs w:val="24"/>
          <w:lang w:val="ro-RO"/>
        </w:rPr>
        <w:t>, care</w:t>
      </w:r>
      <w:r w:rsidRPr="00DF16AC">
        <w:rPr>
          <w:rFonts w:ascii="Times New Roman" w:eastAsia="Times New Roman" w:hAnsi="Times New Roman" w:cs="Times New Roman"/>
          <w:sz w:val="24"/>
          <w:szCs w:val="24"/>
          <w:lang w:val="ro-RO"/>
        </w:rPr>
        <w:t xml:space="preserve"> oferă servicii dedicate sprijinirii dezvoltării personale a tinerilor, punând accent pe consiliere </w:t>
      </w:r>
      <w:r w:rsidRPr="00DF16AC">
        <w:rPr>
          <w:rFonts w:ascii="Times New Roman" w:eastAsia="Times New Roman" w:hAnsi="Times New Roman" w:cs="Times New Roman"/>
          <w:sz w:val="24"/>
          <w:szCs w:val="24"/>
          <w:lang w:val="ro-RO"/>
        </w:rPr>
        <w:lastRenderedPageBreak/>
        <w:t>psihologică, orientare educațională și profesională, precum și activități menite să îmbunătățească bunăstarea emoțională. Centrul creează un mediu sigur și accesibil, în care tinerii pot primi suport specializat și pot participa la sesiuni interactive și ateliere tematice.</w:t>
      </w:r>
    </w:p>
    <w:p w14:paraId="2FEE80E5" w14:textId="1FD81A19" w:rsidR="00B67A24" w:rsidRPr="00DF16AC" w:rsidRDefault="00B67A24" w:rsidP="00B67A24">
      <w:pPr>
        <w:pStyle w:val="ListParagraph"/>
        <w:widowControl/>
        <w:numPr>
          <w:ilvl w:val="0"/>
          <w:numId w:val="4"/>
        </w:numPr>
        <w:spacing w:before="100" w:beforeAutospacing="1" w:after="100" w:afterAutospacing="1"/>
        <w:rPr>
          <w:rFonts w:ascii="Times New Roman" w:eastAsia="Times New Roman" w:hAnsi="Times New Roman" w:cs="Times New Roman"/>
          <w:sz w:val="24"/>
          <w:szCs w:val="24"/>
          <w:lang w:val="ro-RO"/>
        </w:rPr>
      </w:pPr>
      <w:r w:rsidRPr="00DF16AC">
        <w:rPr>
          <w:rFonts w:ascii="Times New Roman" w:eastAsia="Times New Roman" w:hAnsi="Times New Roman" w:cs="Times New Roman"/>
          <w:b/>
          <w:bCs/>
          <w:sz w:val="24"/>
          <w:szCs w:val="24"/>
          <w:lang w:val="ro-RO"/>
        </w:rPr>
        <w:t>Centrul municipal de tineret „La Nave”</w:t>
      </w:r>
      <w:r w:rsidRPr="00DF16AC">
        <w:rPr>
          <w:rFonts w:ascii="Times New Roman" w:eastAsia="Times New Roman" w:hAnsi="Times New Roman" w:cs="Times New Roman"/>
          <w:sz w:val="24"/>
          <w:szCs w:val="24"/>
          <w:lang w:val="ro-RO"/>
        </w:rPr>
        <w:t xml:space="preserve">, care </w:t>
      </w:r>
      <w:r w:rsidRPr="00DF16AC">
        <w:rPr>
          <w:rFonts w:ascii="Times New Roman" w:eastAsia="Times New Roman" w:hAnsi="Times New Roman" w:cs="Times New Roman"/>
          <w:sz w:val="24"/>
          <w:szCs w:val="24"/>
          <w:lang w:val="ro-RO"/>
        </w:rPr>
        <w:t xml:space="preserve">reprezintă un spațiu multifuncțional dedicat creativității, învățării și participării active. Aici, tinerii au acces la ateliere, cursuri, activități culturale și oportunități de dezvoltare a propriilor inițiative, într-un cadru colaborativ. Centrul susține asociativitatea și implicarea tinerilor în viața comunității, oferindu-le resursele necesare pentru a-și dezvolta ideile și proiectele. </w:t>
      </w:r>
    </w:p>
    <w:p w14:paraId="6BD399CB" w14:textId="77777777" w:rsidR="00B67A24" w:rsidRPr="00B67A24" w:rsidRDefault="00B67A24" w:rsidP="00B67A24">
      <w:pPr>
        <w:widowControl/>
        <w:spacing w:before="100" w:beforeAutospacing="1" w:after="100" w:afterAutospacing="1"/>
        <w:rPr>
          <w:rFonts w:ascii="Times New Roman" w:eastAsia="Times New Roman" w:hAnsi="Times New Roman" w:cs="Times New Roman"/>
          <w:sz w:val="24"/>
          <w:szCs w:val="24"/>
          <w:lang w:val="ro-RO"/>
        </w:rPr>
      </w:pPr>
      <w:r w:rsidRPr="00B67A24">
        <w:rPr>
          <w:rFonts w:ascii="Times New Roman" w:eastAsia="Times New Roman" w:hAnsi="Times New Roman" w:cs="Times New Roman"/>
          <w:sz w:val="24"/>
          <w:szCs w:val="24"/>
          <w:lang w:val="ro-RO"/>
        </w:rPr>
        <w:t>După finalizarea vizitelor, partenerii au prezentat activitățile planificate pentru cel de-al treilea semestru al proiectului, subliniind direcțiile viitoare de colaborare și acțiune.</w:t>
      </w:r>
    </w:p>
    <w:p w14:paraId="15A00CE2" w14:textId="77777777" w:rsidR="00B67A24" w:rsidRPr="00B67A24" w:rsidRDefault="00B67A24" w:rsidP="00B67A24">
      <w:pPr>
        <w:widowControl/>
        <w:spacing w:before="100" w:beforeAutospacing="1" w:after="100" w:afterAutospacing="1"/>
        <w:rPr>
          <w:rFonts w:ascii="Times New Roman" w:eastAsia="Times New Roman" w:hAnsi="Times New Roman" w:cs="Times New Roman"/>
          <w:sz w:val="24"/>
          <w:szCs w:val="24"/>
          <w:lang w:val="ro-RO"/>
        </w:rPr>
      </w:pPr>
      <w:r w:rsidRPr="00B67A24">
        <w:rPr>
          <w:rFonts w:ascii="Times New Roman" w:eastAsia="Times New Roman" w:hAnsi="Times New Roman" w:cs="Times New Roman"/>
          <w:sz w:val="24"/>
          <w:szCs w:val="24"/>
          <w:lang w:val="ro-RO"/>
        </w:rPr>
        <w:t>Evenimentul a consolidat cooperarea între parteneri și a evidențiat importanța schimbului de experiență la nivel european pentru dezvoltarea unor politici eficiente dedicate tinerilor.</w:t>
      </w:r>
    </w:p>
    <w:p w14:paraId="5E9D2D2D" w14:textId="4990F640" w:rsidR="001B4CFE" w:rsidRPr="00DF16AC" w:rsidRDefault="001B4CFE" w:rsidP="001B4CFE">
      <w:pPr>
        <w:pStyle w:val="NormalWeb"/>
      </w:pPr>
      <w:r w:rsidRPr="00DF16AC">
        <w:t>Proiectul ForYouth – „Găsind noi modalități de a implica, conecta și împuternici tinerii” – este finanțat prin Programul Interreg Europe 2021–2027, în cadrul Obiectivului de Politică 6 – O mai bună guvernanță, Obiectiv specific – Guvernanța politicilor. Coordonat de municipiul Alba Iulia, proiectul implică șapte parteneri: Orașul Šibenik (Croația), Comunitatea Intermunicipală Beira Baixa (Portugalia), Municipiul Storfors (Suedia), Municipiul Murcia (Spania), Universitatea de Economie din Bratislava (Slovacia), Orașul Magdeburg (Germania) și Primăria satului Sireți (Republica Moldova).</w:t>
      </w:r>
    </w:p>
    <w:p w14:paraId="4EDB117B" w14:textId="5F711BA1" w:rsidR="001B4CFE" w:rsidRPr="00DF16AC" w:rsidRDefault="001B4CFE" w:rsidP="001B4CFE">
      <w:pPr>
        <w:pStyle w:val="NormalWeb"/>
      </w:pPr>
      <w:r w:rsidRPr="00DF16AC">
        <w:t xml:space="preserve">Pe parcursul a patru ani, </w:t>
      </w:r>
      <w:r w:rsidR="002053B7" w:rsidRPr="00DF16AC">
        <w:t>„</w:t>
      </w:r>
      <w:r w:rsidRPr="00DF16AC">
        <w:t>ForYouth” își propune să îmbunătățească politicile publice care permit participarea tinerilor la procesele decizionale, abordând barierele în calea incluziunii, implicând actorii relevanți și dezvoltând instrumente care să încurajeze tinerii să rămână activi în comunitățile lor.</w:t>
      </w:r>
    </w:p>
    <w:p w14:paraId="6F28A26F" w14:textId="41BF384F" w:rsidR="001B4CFE" w:rsidRPr="00DF16AC" w:rsidRDefault="001B4CFE" w:rsidP="001B4CFE">
      <w:pPr>
        <w:pStyle w:val="NormalWeb"/>
      </w:pPr>
      <w:r w:rsidRPr="00DF16AC">
        <w:rPr>
          <w:rStyle w:val="Strong"/>
        </w:rPr>
        <w:t>Valoare totală proiect (EURO): 1.617.350,00</w:t>
      </w:r>
      <w:r w:rsidRPr="00DF16AC">
        <w:br/>
      </w:r>
      <w:r w:rsidRPr="00DF16AC">
        <w:rPr>
          <w:rStyle w:val="Strong"/>
        </w:rPr>
        <w:t>Valoare totală grant (EURO): 1.293.880,00</w:t>
      </w:r>
      <w:r w:rsidRPr="00DF16AC">
        <w:br/>
      </w:r>
      <w:r w:rsidRPr="00DF16AC">
        <w:rPr>
          <w:rStyle w:val="Strong"/>
          <w:highlight w:val="yellow"/>
        </w:rPr>
        <w:t>Buget Primăria Sireți (EURO):</w:t>
      </w:r>
      <w:r w:rsidRPr="00DF16AC">
        <w:rPr>
          <w:rStyle w:val="Strong"/>
        </w:rPr>
        <w:t xml:space="preserve"> </w:t>
      </w:r>
      <w:r w:rsidRPr="00DF16AC">
        <w:br/>
      </w:r>
      <w:r w:rsidRPr="00DF16AC">
        <w:rPr>
          <w:rStyle w:val="Strong"/>
        </w:rPr>
        <w:t>Perioada de implementare: 1 mai 2025 – 31 iulie 2029</w:t>
      </w:r>
    </w:p>
    <w:p w14:paraId="049F5FC7" w14:textId="1B1183C8" w:rsidR="002F1669" w:rsidRPr="00DF16AC" w:rsidRDefault="001B4CFE" w:rsidP="00B67A24">
      <w:pPr>
        <w:pStyle w:val="NormalWeb"/>
      </w:pPr>
      <w:r w:rsidRPr="00DF16AC">
        <w:rPr>
          <w:rStyle w:val="Strong"/>
        </w:rPr>
        <w:t>Persoană de contact:</w:t>
      </w:r>
      <w:r w:rsidRPr="00DF16AC">
        <w:br/>
      </w:r>
      <w:r w:rsidRPr="00DF16AC">
        <w:rPr>
          <w:highlight w:val="yellow"/>
        </w:rPr>
        <w:t>Dobra Alina Maria – Expert Comunicare și PR</w:t>
      </w:r>
      <w:r w:rsidRPr="00DF16AC">
        <w:rPr>
          <w:highlight w:val="yellow"/>
        </w:rPr>
        <w:br/>
        <w:t>Tel: 0372 586 419</w:t>
      </w:r>
      <w:r w:rsidRPr="00DF16AC">
        <w:rPr>
          <w:highlight w:val="yellow"/>
        </w:rPr>
        <w:br/>
        <w:t>Fax: 0258 812 545</w:t>
      </w:r>
      <w:r w:rsidRPr="00DF16AC">
        <w:rPr>
          <w:highlight w:val="yellow"/>
        </w:rPr>
        <w:br/>
        <w:t>E-mail: foryouth.interreg@gmail.com</w:t>
      </w:r>
    </w:p>
    <w:sectPr w:rsidR="002F1669" w:rsidRPr="00DF16AC">
      <w:headerReference w:type="default" r:id="rId8"/>
      <w:footerReference w:type="default" r:id="rId9"/>
      <w:pgSz w:w="11910" w:h="16840"/>
      <w:pgMar w:top="1920" w:right="1275" w:bottom="2430" w:left="1275" w:header="288" w:footer="1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579F" w14:textId="77777777" w:rsidR="00900CDC" w:rsidRDefault="00900CDC">
      <w:r>
        <w:separator/>
      </w:r>
    </w:p>
  </w:endnote>
  <w:endnote w:type="continuationSeparator" w:id="0">
    <w:p w14:paraId="54E62893" w14:textId="77777777" w:rsidR="00900CDC" w:rsidRDefault="0090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604D" w14:textId="76F8AE5C" w:rsidR="002F1669" w:rsidRDefault="00385110">
    <w:pPr>
      <w:pBdr>
        <w:top w:val="nil"/>
        <w:left w:val="nil"/>
        <w:bottom w:val="nil"/>
        <w:right w:val="nil"/>
        <w:between w:val="nil"/>
      </w:pBdr>
      <w:spacing w:line="14" w:lineRule="auto"/>
      <w:rPr>
        <w:color w:val="000000"/>
        <w:sz w:val="20"/>
        <w:szCs w:val="20"/>
      </w:rPr>
    </w:pPr>
    <w:r>
      <w:rPr>
        <w:noProof/>
        <w:color w:val="000000"/>
        <w:sz w:val="20"/>
        <w:szCs w:val="20"/>
      </w:rPr>
      <w:drawing>
        <wp:inline distT="0" distB="0" distL="0" distR="0" wp14:anchorId="6F60C969" wp14:editId="6F1BAC37">
          <wp:extent cx="6200775" cy="190500"/>
          <wp:effectExtent l="0" t="0" r="0" b="0"/>
          <wp:docPr id="9729009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00775" cy="190500"/>
                  </a:xfrm>
                  <a:prstGeom prst="rect">
                    <a:avLst/>
                  </a:prstGeom>
                  <a:ln/>
                </pic:spPr>
              </pic:pic>
            </a:graphicData>
          </a:graphic>
        </wp:inline>
      </w:drawing>
    </w:r>
    <w:r>
      <w:rPr>
        <w:noProof/>
      </w:rPr>
      <mc:AlternateContent>
        <mc:Choice Requires="wps">
          <w:drawing>
            <wp:anchor distT="0" distB="0" distL="0" distR="0" simplePos="0" relativeHeight="251661312" behindDoc="1" locked="0" layoutInCell="1" hidden="0" allowOverlap="1" wp14:anchorId="05597AEC" wp14:editId="3D45FFA0">
              <wp:simplePos x="0" y="0"/>
              <wp:positionH relativeFrom="column">
                <wp:posOffset>-4761</wp:posOffset>
              </wp:positionH>
              <wp:positionV relativeFrom="paragraph">
                <wp:posOffset>9751378</wp:posOffset>
              </wp:positionV>
              <wp:extent cx="1524635" cy="631190"/>
              <wp:effectExtent l="0" t="0" r="0" b="0"/>
              <wp:wrapNone/>
              <wp:docPr id="972900980" name="Rectangle 972900980"/>
              <wp:cNvGraphicFramePr/>
              <a:graphic xmlns:a="http://schemas.openxmlformats.org/drawingml/2006/main">
                <a:graphicData uri="http://schemas.microsoft.com/office/word/2010/wordprocessingShape">
                  <wps:wsp>
                    <wps:cNvSpPr/>
                    <wps:spPr>
                      <a:xfrm>
                        <a:off x="4588445" y="3469168"/>
                        <a:ext cx="1515110" cy="621665"/>
                      </a:xfrm>
                      <a:prstGeom prst="rect">
                        <a:avLst/>
                      </a:prstGeom>
                      <a:noFill/>
                      <a:ln>
                        <a:noFill/>
                      </a:ln>
                    </wps:spPr>
                    <wps:txbx>
                      <w:txbxContent>
                        <w:p w14:paraId="2862BF7D" w14:textId="77777777" w:rsidR="002F1669" w:rsidRDefault="00385110">
                          <w:pPr>
                            <w:spacing w:line="245" w:lineRule="auto"/>
                            <w:ind w:left="20" w:firstLine="20"/>
                            <w:textDirection w:val="btLr"/>
                          </w:pPr>
                          <w:r>
                            <w:rPr>
                              <w:rFonts w:ascii="Arial" w:eastAsia="Arial" w:hAnsi="Arial" w:cs="Arial"/>
                              <w:b/>
                              <w:color w:val="000000"/>
                              <w:sz w:val="20"/>
                            </w:rPr>
                            <w:t>Municipiul Alba Iulia</w:t>
                          </w:r>
                        </w:p>
                        <w:p w14:paraId="6F58E9C9" w14:textId="77777777" w:rsidR="002F1669" w:rsidRDefault="00385110">
                          <w:pPr>
                            <w:ind w:left="20" w:right="15" w:firstLine="20"/>
                            <w:textDirection w:val="btLr"/>
                          </w:pPr>
                          <w:r>
                            <w:rPr>
                              <w:rFonts w:ascii="Arial" w:eastAsia="Arial" w:hAnsi="Arial" w:cs="Arial"/>
                              <w:b/>
                              <w:color w:val="000000"/>
                              <w:sz w:val="20"/>
                            </w:rPr>
                            <w:t xml:space="preserve">E-mail: </w:t>
                          </w:r>
                          <w:r>
                            <w:rPr>
                              <w:rFonts w:ascii="Arial" w:eastAsia="Arial" w:hAnsi="Arial" w:cs="Arial"/>
                              <w:b/>
                              <w:color w:val="1154CC"/>
                              <w:sz w:val="20"/>
                              <w:u w:val="single"/>
                            </w:rPr>
                            <w:t>office@apulum.ro</w:t>
                          </w:r>
                          <w:r>
                            <w:rPr>
                              <w:rFonts w:ascii="Arial" w:eastAsia="Arial" w:hAnsi="Arial" w:cs="Arial"/>
                              <w:b/>
                              <w:color w:val="1154CC"/>
                            </w:rPr>
                            <w:t xml:space="preserve"> </w:t>
                          </w:r>
                        </w:p>
                        <w:p w14:paraId="410DB9E2" w14:textId="77777777" w:rsidR="002F1669" w:rsidRDefault="00385110">
                          <w:pPr>
                            <w:ind w:left="20" w:right="15" w:firstLine="20"/>
                            <w:textDirection w:val="btLr"/>
                          </w:pPr>
                          <w:r>
                            <w:rPr>
                              <w:rFonts w:ascii="Arial" w:eastAsia="Arial" w:hAnsi="Arial" w:cs="Arial"/>
                              <w:b/>
                              <w:color w:val="000000"/>
                              <w:sz w:val="20"/>
                            </w:rPr>
                            <w:t>Tel.: +40/0258-819462</w:t>
                          </w:r>
                        </w:p>
                      </w:txbxContent>
                    </wps:txbx>
                    <wps:bodyPr spcFirstLastPara="1" wrap="square" lIns="0" tIns="0" rIns="0" bIns="0" anchor="t" anchorCtr="0">
                      <a:noAutofit/>
                    </wps:bodyPr>
                  </wps:wsp>
                </a:graphicData>
              </a:graphic>
            </wp:anchor>
          </w:drawing>
        </mc:Choice>
        <mc:Fallback>
          <w:pict>
            <v:rect w14:anchorId="05597AEC" id="Rectangle 972900980" o:spid="_x0000_s1027" style="position:absolute;margin-left:-.35pt;margin-top:767.85pt;width:120.05pt;height:49.7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" filled="f" stroked="f">
              <v:textbox inset="0,0,0,0">
                <w:txbxContent>
                  <w:p w14:paraId="2862BF7D" w14:textId="77777777" w:rsidR="002F1669" w:rsidRDefault="00385110">
                    <w:pPr>
                      <w:spacing w:line="245" w:lineRule="auto"/>
                      <w:ind w:left="20" w:firstLine="20"/>
                      <w:textDirection w:val="btLr"/>
                    </w:pPr>
                    <w:r>
                      <w:rPr>
                        <w:rFonts w:ascii="Arial" w:eastAsia="Arial" w:hAnsi="Arial" w:cs="Arial"/>
                        <w:b/>
                        <w:color w:val="000000"/>
                        <w:sz w:val="20"/>
                      </w:rPr>
                      <w:t>Municipiul Alba Iulia</w:t>
                    </w:r>
                  </w:p>
                  <w:p w14:paraId="6F58E9C9" w14:textId="77777777" w:rsidR="002F1669" w:rsidRDefault="00385110">
                    <w:pPr>
                      <w:ind w:left="20" w:right="15" w:firstLine="20"/>
                      <w:textDirection w:val="btLr"/>
                    </w:pPr>
                    <w:r>
                      <w:rPr>
                        <w:rFonts w:ascii="Arial" w:eastAsia="Arial" w:hAnsi="Arial" w:cs="Arial"/>
                        <w:b/>
                        <w:color w:val="000000"/>
                        <w:sz w:val="20"/>
                      </w:rPr>
                      <w:t xml:space="preserve">E-mail: </w:t>
                    </w:r>
                    <w:r>
                      <w:rPr>
                        <w:rFonts w:ascii="Arial" w:eastAsia="Arial" w:hAnsi="Arial" w:cs="Arial"/>
                        <w:b/>
                        <w:color w:val="1154CC"/>
                        <w:sz w:val="20"/>
                        <w:u w:val="single"/>
                      </w:rPr>
                      <w:t>office@apulum.ro</w:t>
                    </w:r>
                    <w:r>
                      <w:rPr>
                        <w:rFonts w:ascii="Arial" w:eastAsia="Arial" w:hAnsi="Arial" w:cs="Arial"/>
                        <w:b/>
                        <w:color w:val="1154CC"/>
                      </w:rPr>
                      <w:t xml:space="preserve"> </w:t>
                    </w:r>
                  </w:p>
                  <w:p w14:paraId="410DB9E2" w14:textId="77777777" w:rsidR="002F1669" w:rsidRDefault="00385110">
                    <w:pPr>
                      <w:ind w:left="20" w:right="15" w:firstLine="20"/>
                      <w:textDirection w:val="btLr"/>
                    </w:pPr>
                    <w:r>
                      <w:rPr>
                        <w:rFonts w:ascii="Arial" w:eastAsia="Arial" w:hAnsi="Arial" w:cs="Arial"/>
                        <w:b/>
                        <w:color w:val="000000"/>
                        <w:sz w:val="20"/>
                      </w:rPr>
                      <w:t>Tel.: +40/0258-819462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D4B2" w14:textId="77777777" w:rsidR="00900CDC" w:rsidRDefault="00900CDC">
      <w:r>
        <w:separator/>
      </w:r>
    </w:p>
  </w:footnote>
  <w:footnote w:type="continuationSeparator" w:id="0">
    <w:p w14:paraId="64A41BE0" w14:textId="77777777" w:rsidR="00900CDC" w:rsidRDefault="0090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ED70" w14:textId="77777777" w:rsidR="002F1669" w:rsidRDefault="00385110">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0"/>
        <w:szCs w:val="20"/>
      </w:rPr>
      <w:drawing>
        <wp:anchor distT="0" distB="0" distL="114300" distR="114300" simplePos="0" relativeHeight="251658240" behindDoc="0" locked="0" layoutInCell="1" hidden="0" allowOverlap="1" wp14:anchorId="1BD91324" wp14:editId="71C01D26">
          <wp:simplePos x="0" y="0"/>
          <wp:positionH relativeFrom="margin">
            <wp:posOffset>3495675</wp:posOffset>
          </wp:positionH>
          <wp:positionV relativeFrom="margin">
            <wp:posOffset>-1009649</wp:posOffset>
          </wp:positionV>
          <wp:extent cx="2925642" cy="1050053"/>
          <wp:effectExtent l="0" t="0" r="0" b="0"/>
          <wp:wrapNone/>
          <wp:docPr id="9729009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925642" cy="1050053"/>
                  </a:xfrm>
                  <a:prstGeom prst="rect">
                    <a:avLst/>
                  </a:prstGeom>
                  <a:ln/>
                </pic:spPr>
              </pic:pic>
            </a:graphicData>
          </a:graphic>
        </wp:anchor>
      </w:drawing>
    </w:r>
    <w:r>
      <w:rPr>
        <w:rFonts w:ascii="Arial" w:eastAsia="Arial" w:hAnsi="Arial" w:cs="Arial"/>
        <w:noProof/>
        <w:color w:val="000000"/>
        <w:sz w:val="20"/>
        <w:szCs w:val="20"/>
      </w:rPr>
      <mc:AlternateContent>
        <mc:Choice Requires="wps">
          <w:drawing>
            <wp:anchor distT="0" distB="0" distL="0" distR="0" simplePos="0" relativeHeight="251659264" behindDoc="1" locked="0" layoutInCell="1" hidden="0" allowOverlap="1" wp14:anchorId="722B292C" wp14:editId="7CD76C40">
              <wp:simplePos x="0" y="0"/>
              <wp:positionH relativeFrom="page">
                <wp:posOffset>879157</wp:posOffset>
              </wp:positionH>
              <wp:positionV relativeFrom="page">
                <wp:posOffset>429578</wp:posOffset>
              </wp:positionV>
              <wp:extent cx="3499485" cy="379730"/>
              <wp:effectExtent l="0" t="0" r="0" b="0"/>
              <wp:wrapNone/>
              <wp:docPr id="972900981" name="Rectangle 972900981"/>
              <wp:cNvGraphicFramePr/>
              <a:graphic xmlns:a="http://schemas.openxmlformats.org/drawingml/2006/main">
                <a:graphicData uri="http://schemas.microsoft.com/office/word/2010/wordprocessingShape">
                  <wps:wsp>
                    <wps:cNvSpPr/>
                    <wps:spPr>
                      <a:xfrm>
                        <a:off x="3601020" y="3594898"/>
                        <a:ext cx="3489960" cy="370205"/>
                      </a:xfrm>
                      <a:prstGeom prst="rect">
                        <a:avLst/>
                      </a:prstGeom>
                      <a:noFill/>
                      <a:ln>
                        <a:noFill/>
                      </a:ln>
                    </wps:spPr>
                    <wps:txbx>
                      <w:txbxContent>
                        <w:p w14:paraId="68D0C45A" w14:textId="77777777" w:rsidR="002F1669" w:rsidRDefault="00385110">
                          <w:pPr>
                            <w:spacing w:before="12" w:line="288" w:lineRule="auto"/>
                            <w:ind w:left="20" w:firstLine="20"/>
                            <w:textDirection w:val="btLr"/>
                          </w:pPr>
                          <w:r>
                            <w:rPr>
                              <w:rFonts w:ascii="Arial" w:eastAsia="Arial" w:hAnsi="Arial" w:cs="Arial"/>
                              <w:color w:val="000000"/>
                            </w:rPr>
                            <w:t>Interreg Europe |</w:t>
                          </w:r>
                        </w:p>
                        <w:p w14:paraId="2C09A8A8" w14:textId="77777777" w:rsidR="002F1669" w:rsidRDefault="00385110">
                          <w:pPr>
                            <w:spacing w:line="279" w:lineRule="auto"/>
                            <w:ind w:left="20" w:firstLine="20"/>
                            <w:textDirection w:val="btLr"/>
                          </w:pPr>
                          <w:r>
                            <w:rPr>
                              <w:rFonts w:ascii="Arial" w:eastAsia="Arial" w:hAnsi="Arial" w:cs="Arial"/>
                              <w:color w:val="000000"/>
                            </w:rPr>
                            <w:t>Finding new ways to engage, connect and empower youth</w:t>
                          </w:r>
                        </w:p>
                      </w:txbxContent>
                    </wps:txbx>
                    <wps:bodyPr spcFirstLastPara="1" wrap="square" lIns="0" tIns="0" rIns="0" bIns="0" anchor="t" anchorCtr="0">
                      <a:noAutofit/>
                    </wps:bodyPr>
                  </wps:wsp>
                </a:graphicData>
              </a:graphic>
            </wp:anchor>
          </w:drawing>
        </mc:Choice>
        <mc:Fallback>
          <w:pict>
            <v:rect w14:anchorId="722B292C" id="Rectangle 972900981" o:spid="_x0000_s1026" style="position:absolute;margin-left:69.2pt;margin-top:33.85pt;width:275.55pt;height:29.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" filled="f" stroked="f">
              <v:textbox inset="0,0,0,0">
                <w:txbxContent>
                  <w:p w14:paraId="68D0C45A" w14:textId="77777777" w:rsidR="002F1669" w:rsidRDefault="00385110">
                    <w:pPr>
                      <w:spacing w:before="12" w:line="288" w:lineRule="auto"/>
                      <w:ind w:left="20" w:firstLine="20"/>
                      <w:textDirection w:val="btLr"/>
                    </w:pPr>
                    <w:r>
                      <w:rPr>
                        <w:rFonts w:ascii="Arial" w:eastAsia="Arial" w:hAnsi="Arial" w:cs="Arial"/>
                        <w:color w:val="000000"/>
                      </w:rPr>
                      <w:t>Interreg Europe |</w:t>
                    </w:r>
                  </w:p>
                  <w:p w14:paraId="2C09A8A8" w14:textId="77777777" w:rsidR="002F1669" w:rsidRDefault="00385110">
                    <w:pPr>
                      <w:spacing w:line="279" w:lineRule="auto"/>
                      <w:ind w:left="20" w:firstLine="20"/>
                      <w:textDirection w:val="btLr"/>
                    </w:pPr>
                    <w:r>
                      <w:rPr>
                        <w:rFonts w:ascii="Arial" w:eastAsia="Arial" w:hAnsi="Arial" w:cs="Arial"/>
                        <w:color w:val="000000"/>
                      </w:rPr>
                      <w:t>Finding new ways to engage, connect and empower youth</w:t>
                    </w:r>
                  </w:p>
                </w:txbxContent>
              </v:textbox>
              <w10:wrap anchorx="page" anchory="page"/>
            </v:rect>
          </w:pict>
        </mc:Fallback>
      </mc:AlternateContent>
    </w:r>
    <w:r>
      <w:rPr>
        <w:rFonts w:ascii="Arial" w:eastAsia="Arial" w:hAnsi="Arial" w:cs="Arial"/>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221C"/>
    <w:multiLevelType w:val="hybridMultilevel"/>
    <w:tmpl w:val="46F0D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A93D79"/>
    <w:multiLevelType w:val="multilevel"/>
    <w:tmpl w:val="203AC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991C11"/>
    <w:multiLevelType w:val="multilevel"/>
    <w:tmpl w:val="D35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C5E59"/>
    <w:multiLevelType w:val="multilevel"/>
    <w:tmpl w:val="B23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9"/>
    <w:rsid w:val="001B4CFE"/>
    <w:rsid w:val="002053B7"/>
    <w:rsid w:val="002F1669"/>
    <w:rsid w:val="00385110"/>
    <w:rsid w:val="003F7F8D"/>
    <w:rsid w:val="00460C27"/>
    <w:rsid w:val="00900CDC"/>
    <w:rsid w:val="00972266"/>
    <w:rsid w:val="00980313"/>
    <w:rsid w:val="00A06356"/>
    <w:rsid w:val="00B67A24"/>
    <w:rsid w:val="00BF28B9"/>
    <w:rsid w:val="00C92731"/>
    <w:rsid w:val="00CF1808"/>
    <w:rsid w:val="00D11037"/>
    <w:rsid w:val="00D55598"/>
    <w:rsid w:val="00DF16AC"/>
    <w:rsid w:val="00F35E71"/>
    <w:rsid w:val="00F47BD8"/>
    <w:rsid w:val="00F813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A784"/>
  <w15:docId w15:val="{982B675F-DEDC-48CE-82BC-7418AAFA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4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41F6"/>
    <w:pPr>
      <w:tabs>
        <w:tab w:val="center" w:pos="4513"/>
        <w:tab w:val="right" w:pos="9026"/>
      </w:tabs>
    </w:pPr>
  </w:style>
  <w:style w:type="character" w:customStyle="1" w:styleId="HeaderChar">
    <w:name w:val="Header Char"/>
    <w:basedOn w:val="DefaultParagraphFont"/>
    <w:link w:val="Header"/>
    <w:uiPriority w:val="99"/>
    <w:rsid w:val="00AD41F6"/>
    <w:rPr>
      <w:rFonts w:ascii="Calibri" w:eastAsia="Calibri" w:hAnsi="Calibri" w:cs="Calibri"/>
      <w:lang w:val="ro-RO"/>
    </w:rPr>
  </w:style>
  <w:style w:type="paragraph" w:styleId="Footer">
    <w:name w:val="footer"/>
    <w:basedOn w:val="Normal"/>
    <w:link w:val="FooterChar"/>
    <w:uiPriority w:val="99"/>
    <w:unhideWhenUsed/>
    <w:rsid w:val="00AD41F6"/>
    <w:pPr>
      <w:tabs>
        <w:tab w:val="center" w:pos="4513"/>
        <w:tab w:val="right" w:pos="9026"/>
      </w:tabs>
    </w:pPr>
  </w:style>
  <w:style w:type="character" w:customStyle="1" w:styleId="FooterChar">
    <w:name w:val="Footer Char"/>
    <w:basedOn w:val="DefaultParagraphFont"/>
    <w:link w:val="Footer"/>
    <w:uiPriority w:val="99"/>
    <w:rsid w:val="00AD41F6"/>
    <w:rPr>
      <w:rFonts w:ascii="Calibri" w:eastAsia="Calibri" w:hAnsi="Calibri" w:cs="Calibri"/>
      <w:lang w:val="ro-RO"/>
    </w:rPr>
  </w:style>
  <w:style w:type="paragraph" w:styleId="NormalWeb">
    <w:name w:val="Normal (Web)"/>
    <w:basedOn w:val="Normal"/>
    <w:uiPriority w:val="99"/>
    <w:unhideWhenUsed/>
    <w:rsid w:val="00FA1783"/>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A1783"/>
    <w:rPr>
      <w:b/>
      <w:bCs/>
    </w:rPr>
  </w:style>
  <w:style w:type="character" w:styleId="Hyperlink">
    <w:name w:val="Hyperlink"/>
    <w:basedOn w:val="DefaultParagraphFont"/>
    <w:uiPriority w:val="99"/>
    <w:unhideWhenUsed/>
    <w:rsid w:val="00FA1783"/>
    <w:rPr>
      <w:color w:val="0000FF" w:themeColor="hyperlink"/>
      <w:u w:val="single"/>
    </w:rPr>
  </w:style>
  <w:style w:type="character" w:styleId="UnresolvedMention">
    <w:name w:val="Unresolved Mention"/>
    <w:basedOn w:val="DefaultParagraphFont"/>
    <w:uiPriority w:val="99"/>
    <w:semiHidden/>
    <w:unhideWhenUsed/>
    <w:rsid w:val="00FA1783"/>
    <w:rPr>
      <w:color w:val="605E5C"/>
      <w:shd w:val="clear" w:color="auto" w:fill="E1DFDD"/>
    </w:rPr>
  </w:style>
  <w:style w:type="paragraph" w:customStyle="1" w:styleId="Default">
    <w:name w:val="Default"/>
    <w:rsid w:val="00D87220"/>
    <w:pPr>
      <w:widowControl/>
      <w:adjustRightInd w:val="0"/>
    </w:pPr>
    <w:rPr>
      <w:color w:val="000000"/>
      <w:sz w:val="24"/>
      <w:szCs w:val="24"/>
      <w:lang w:val="ro-RO"/>
    </w:rPr>
  </w:style>
  <w:style w:type="character" w:styleId="CommentReference">
    <w:name w:val="annotation reference"/>
    <w:basedOn w:val="DefaultParagraphFont"/>
    <w:uiPriority w:val="99"/>
    <w:semiHidden/>
    <w:unhideWhenUsed/>
    <w:rsid w:val="00803F5F"/>
    <w:rPr>
      <w:sz w:val="16"/>
      <w:szCs w:val="16"/>
    </w:rPr>
  </w:style>
  <w:style w:type="paragraph" w:styleId="CommentText">
    <w:name w:val="annotation text"/>
    <w:basedOn w:val="Normal"/>
    <w:link w:val="CommentTextChar"/>
    <w:uiPriority w:val="99"/>
    <w:semiHidden/>
    <w:unhideWhenUsed/>
    <w:rsid w:val="00803F5F"/>
    <w:rPr>
      <w:sz w:val="20"/>
      <w:szCs w:val="20"/>
    </w:rPr>
  </w:style>
  <w:style w:type="character" w:customStyle="1" w:styleId="CommentTextChar">
    <w:name w:val="Comment Text Char"/>
    <w:basedOn w:val="DefaultParagraphFont"/>
    <w:link w:val="CommentText"/>
    <w:uiPriority w:val="99"/>
    <w:semiHidden/>
    <w:rsid w:val="00803F5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803F5F"/>
    <w:rPr>
      <w:b/>
      <w:bCs/>
    </w:rPr>
  </w:style>
  <w:style w:type="character" w:customStyle="1" w:styleId="CommentSubjectChar">
    <w:name w:val="Comment Subject Char"/>
    <w:basedOn w:val="CommentTextChar"/>
    <w:link w:val="CommentSubject"/>
    <w:uiPriority w:val="99"/>
    <w:semiHidden/>
    <w:rsid w:val="00803F5F"/>
    <w:rPr>
      <w:rFonts w:ascii="Calibri" w:eastAsia="Calibri" w:hAnsi="Calibri" w:cs="Calibri"/>
      <w:b/>
      <w:bCs/>
      <w:sz w:val="20"/>
      <w:szCs w:val="20"/>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isselectedend">
    <w:name w:val="isselectedend"/>
    <w:basedOn w:val="Normal"/>
    <w:rsid w:val="00F813FA"/>
    <w:pPr>
      <w:widowControl/>
      <w:spacing w:before="100" w:beforeAutospacing="1" w:after="100" w:afterAutospacing="1"/>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87083">
      <w:bodyDiv w:val="1"/>
      <w:marLeft w:val="0"/>
      <w:marRight w:val="0"/>
      <w:marTop w:val="0"/>
      <w:marBottom w:val="0"/>
      <w:divBdr>
        <w:top w:val="none" w:sz="0" w:space="0" w:color="auto"/>
        <w:left w:val="none" w:sz="0" w:space="0" w:color="auto"/>
        <w:bottom w:val="none" w:sz="0" w:space="0" w:color="auto"/>
        <w:right w:val="none" w:sz="0" w:space="0" w:color="auto"/>
      </w:divBdr>
    </w:div>
    <w:div w:id="1349336069">
      <w:bodyDiv w:val="1"/>
      <w:marLeft w:val="0"/>
      <w:marRight w:val="0"/>
      <w:marTop w:val="0"/>
      <w:marBottom w:val="0"/>
      <w:divBdr>
        <w:top w:val="none" w:sz="0" w:space="0" w:color="auto"/>
        <w:left w:val="none" w:sz="0" w:space="0" w:color="auto"/>
        <w:bottom w:val="none" w:sz="0" w:space="0" w:color="auto"/>
        <w:right w:val="none" w:sz="0" w:space="0" w:color="auto"/>
      </w:divBdr>
    </w:div>
    <w:div w:id="1438601024">
      <w:bodyDiv w:val="1"/>
      <w:marLeft w:val="0"/>
      <w:marRight w:val="0"/>
      <w:marTop w:val="0"/>
      <w:marBottom w:val="0"/>
      <w:divBdr>
        <w:top w:val="none" w:sz="0" w:space="0" w:color="auto"/>
        <w:left w:val="none" w:sz="0" w:space="0" w:color="auto"/>
        <w:bottom w:val="none" w:sz="0" w:space="0" w:color="auto"/>
        <w:right w:val="none" w:sz="0" w:space="0" w:color="auto"/>
      </w:divBdr>
    </w:div>
    <w:div w:id="1647198497">
      <w:bodyDiv w:val="1"/>
      <w:marLeft w:val="0"/>
      <w:marRight w:val="0"/>
      <w:marTop w:val="0"/>
      <w:marBottom w:val="0"/>
      <w:divBdr>
        <w:top w:val="none" w:sz="0" w:space="0" w:color="auto"/>
        <w:left w:val="none" w:sz="0" w:space="0" w:color="auto"/>
        <w:bottom w:val="none" w:sz="0" w:space="0" w:color="auto"/>
        <w:right w:val="none" w:sz="0" w:space="0" w:color="auto"/>
      </w:divBdr>
    </w:div>
    <w:div w:id="1774596455">
      <w:bodyDiv w:val="1"/>
      <w:marLeft w:val="0"/>
      <w:marRight w:val="0"/>
      <w:marTop w:val="0"/>
      <w:marBottom w:val="0"/>
      <w:divBdr>
        <w:top w:val="none" w:sz="0" w:space="0" w:color="auto"/>
        <w:left w:val="none" w:sz="0" w:space="0" w:color="auto"/>
        <w:bottom w:val="none" w:sz="0" w:space="0" w:color="auto"/>
        <w:right w:val="none" w:sz="0" w:space="0" w:color="auto"/>
      </w:divBdr>
    </w:div>
    <w:div w:id="205993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QD54qa6ID3XFp+2YY9/4WMOuA==">CgMxLjA4AHIhMU85aFFMcjJDaDJmS0tJb0NxUXd3NUZ6MTlmTUs1WFlj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Gabriela Samoila</cp:lastModifiedBy>
  <cp:revision>2</cp:revision>
  <dcterms:created xsi:type="dcterms:W3CDTF">2026-03-27T14:37:00Z</dcterms:created>
  <dcterms:modified xsi:type="dcterms:W3CDTF">2026-03-27T14:37:00Z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2025-05-26T00:00:00Z</vt:filetime>
  </property>
  <property fmtid="{D5CDD505-2E9C-101B-9397-08002B2CF9AE}" pid="5" name="Producer">
    <vt:lpwstr>Microsoft® Word for Microsoft 365</vt:lpwstr>
  </property>
</Properties>
</file>