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rebuchet MS" w:hAnsi="Trebuchet MS"/>
          <w:sz w:val="22"/>
          <w:szCs w:val="22"/>
        </w:rPr>
        <w:id w:val="1805816338"/>
        <w:docPartObj>
          <w:docPartGallery w:val="Cover Pages"/>
          <w:docPartUnique/>
        </w:docPartObj>
      </w:sdtPr>
      <w:sdtEndPr/>
      <w:sdtContent>
        <w:p w14:paraId="06E990BA" w14:textId="58628159" w:rsidR="00FD72BD" w:rsidRPr="001B6FD3" w:rsidRDefault="00FD72BD" w:rsidP="00AC7971">
          <w:pPr>
            <w:jc w:val="both"/>
            <w:rPr>
              <w:rFonts w:ascii="Trebuchet MS" w:hAnsi="Trebuchet MS"/>
              <w:sz w:val="22"/>
              <w:szCs w:val="22"/>
            </w:rPr>
          </w:pPr>
        </w:p>
        <w:p w14:paraId="4D8B24B0" w14:textId="612CC78D" w:rsidR="00FD72BD" w:rsidRPr="001B6FD3" w:rsidRDefault="004250D0" w:rsidP="00AC7971">
          <w:pPr>
            <w:jc w:val="both"/>
            <w:rPr>
              <w:rFonts w:ascii="Trebuchet MS" w:hAnsi="Trebuchet MS"/>
              <w:sz w:val="22"/>
              <w:szCs w:val="22"/>
            </w:rPr>
          </w:pPr>
          <w:r w:rsidRPr="001B6FD3">
            <w:rPr>
              <w:rFonts w:ascii="Trebuchet MS" w:hAnsi="Trebuchet MS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F06293" wp14:editId="68104C94">
                    <wp:simplePos x="0" y="0"/>
                    <wp:positionH relativeFrom="margin">
                      <wp:posOffset>342900</wp:posOffset>
                    </wp:positionH>
                    <wp:positionV relativeFrom="margin">
                      <wp:posOffset>2282190</wp:posOffset>
                    </wp:positionV>
                    <wp:extent cx="5810250" cy="2047875"/>
                    <wp:effectExtent l="0" t="0" r="0" b="9525"/>
                    <wp:wrapSquare wrapText="bothSides"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10250" cy="2047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0F6AE8" w14:textId="77777777" w:rsidR="004250D0" w:rsidRPr="007A078D" w:rsidRDefault="004250D0" w:rsidP="004250D0">
                                <w:pPr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42471956" w14:textId="29C6F1DB" w:rsidR="0094705E" w:rsidRDefault="007A078D" w:rsidP="00516834">
                                <w:pPr>
                                  <w:rPr>
                                    <w:rFonts w:ascii="Trebuchet MS" w:hAnsi="Trebuchet MS"/>
                                    <w:b/>
                                    <w:sz w:val="44"/>
                                    <w:szCs w:val="44"/>
                                  </w:rPr>
                                </w:pPr>
                                <w:r w:rsidRPr="007A078D">
                                  <w:rPr>
                                    <w:rFonts w:ascii="Trebuchet MS" w:hAnsi="Trebuchet MS"/>
                                    <w:b/>
                                    <w:sz w:val="44"/>
                                    <w:szCs w:val="44"/>
                                  </w:rPr>
                                  <w:t xml:space="preserve">Annex </w:t>
                                </w:r>
                                <w:r w:rsidR="00832779">
                                  <w:rPr>
                                    <w:rFonts w:ascii="Trebuchet MS" w:hAnsi="Trebuchet MS"/>
                                    <w:b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Pr="007A078D">
                                  <w:rPr>
                                    <w:rFonts w:ascii="Trebuchet MS" w:hAnsi="Trebuchet MS"/>
                                    <w:b/>
                                    <w:sz w:val="44"/>
                                    <w:szCs w:val="44"/>
                                  </w:rPr>
                                  <w:t xml:space="preserve">: </w:t>
                                </w:r>
                                <w:r w:rsidR="0094705E">
                                  <w:rPr>
                                    <w:rFonts w:ascii="Trebuchet MS" w:hAnsi="Trebuchet MS"/>
                                    <w:b/>
                                    <w:sz w:val="44"/>
                                    <w:szCs w:val="44"/>
                                  </w:rPr>
                                  <w:t>Procurement Risk Indicators</w:t>
                                </w:r>
                              </w:p>
                              <w:p w14:paraId="6F73A03E" w14:textId="77777777" w:rsidR="00B413F9" w:rsidRPr="007722EE" w:rsidRDefault="00B413F9" w:rsidP="00B413F9">
                                <w:pPr>
                                  <w:pStyle w:val="Title"/>
                                  <w:spacing w:before="200"/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</w:pPr>
                                <w:r w:rsidRPr="007722EE"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  <w:t>Expenditure and revenue verification</w:t>
                                </w:r>
                              </w:p>
                              <w:p w14:paraId="6F71057C" w14:textId="77777777" w:rsidR="00B3220C" w:rsidRPr="003742A4" w:rsidRDefault="00B3220C" w:rsidP="00B3220C">
                                <w:pPr>
                                  <w:rPr>
                                    <w:rFonts w:ascii="Trebuchet MS" w:hAnsi="Trebuchet MS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A115CE0" w14:textId="77777777" w:rsidR="00516834" w:rsidRPr="003742A4" w:rsidRDefault="00516834" w:rsidP="00B3220C">
                                <w:pPr>
                                  <w:rPr>
                                    <w:rFonts w:ascii="Trebuchet MS" w:hAnsi="Trebuchet MS"/>
                                  </w:rPr>
                                </w:pPr>
                              </w:p>
                              <w:p w14:paraId="527C3CD8" w14:textId="7B9F7DE0" w:rsidR="00BB4D87" w:rsidRPr="003742A4" w:rsidRDefault="00FF141E" w:rsidP="00B3220C">
                                <w:pPr>
                                  <w:pStyle w:val="Subtitle"/>
                                  <w:rPr>
                                    <w:rFonts w:ascii="Trebuchet MS" w:hAnsi="Trebuchet MS"/>
                                    <w:sz w:val="24"/>
                                    <w:szCs w:val="24"/>
                                  </w:rPr>
                                </w:pPr>
                                <w:r w:rsidRPr="003742A4">
                                  <w:rPr>
                                    <w:rFonts w:ascii="Trebuchet MS" w:hAnsi="Trebuchet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F062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left:0;text-align:left;margin-left:27pt;margin-top:179.7pt;width:457.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" filled="f" stroked="f">
                    <v:textbox>
                      <w:txbxContent>
                        <w:p w14:paraId="2B0F6AE8" w14:textId="77777777" w:rsidR="004250D0" w:rsidRPr="007A078D" w:rsidRDefault="004250D0" w:rsidP="004250D0">
                          <w:pPr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</w:pPr>
                        </w:p>
                        <w:p w14:paraId="42471956" w14:textId="29C6F1DB" w:rsidR="0094705E" w:rsidRDefault="007A078D" w:rsidP="00516834">
                          <w:pPr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</w:pPr>
                          <w:r w:rsidRPr="007A078D"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  <w:t xml:space="preserve">Annex </w:t>
                          </w:r>
                          <w:r w:rsidR="00832779"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  <w:t>3</w:t>
                          </w:r>
                          <w:r w:rsidRPr="007A078D"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  <w:t xml:space="preserve">: </w:t>
                          </w:r>
                          <w:r w:rsidR="0094705E">
                            <w:rPr>
                              <w:rFonts w:ascii="Trebuchet MS" w:hAnsi="Trebuchet MS"/>
                              <w:b/>
                              <w:sz w:val="44"/>
                              <w:szCs w:val="44"/>
                            </w:rPr>
                            <w:t>Procurement Risk Indicators</w:t>
                          </w:r>
                        </w:p>
                        <w:p w14:paraId="6F73A03E" w14:textId="77777777" w:rsidR="00B413F9" w:rsidRPr="007722EE" w:rsidRDefault="00B413F9" w:rsidP="00B413F9">
                          <w:pPr>
                            <w:pStyle w:val="Title"/>
                            <w:spacing w:before="200"/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</w:pPr>
                          <w:r w:rsidRPr="007722EE"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  <w:t>Expenditure and revenue verification</w:t>
                          </w:r>
                        </w:p>
                        <w:p w14:paraId="6F71057C" w14:textId="77777777" w:rsidR="00B3220C" w:rsidRPr="003742A4" w:rsidRDefault="00B3220C" w:rsidP="00B3220C">
                          <w:pPr>
                            <w:rPr>
                              <w:rFonts w:ascii="Trebuchet MS" w:hAnsi="Trebuchet MS"/>
                              <w:sz w:val="52"/>
                              <w:szCs w:val="52"/>
                            </w:rPr>
                          </w:pPr>
                        </w:p>
                        <w:p w14:paraId="7A115CE0" w14:textId="77777777" w:rsidR="00516834" w:rsidRPr="003742A4" w:rsidRDefault="00516834" w:rsidP="00B3220C">
                          <w:pPr>
                            <w:rPr>
                              <w:rFonts w:ascii="Trebuchet MS" w:hAnsi="Trebuchet MS"/>
                            </w:rPr>
                          </w:pPr>
                        </w:p>
                        <w:p w14:paraId="527C3CD8" w14:textId="7B9F7DE0" w:rsidR="00BB4D87" w:rsidRPr="003742A4" w:rsidRDefault="00FF141E" w:rsidP="00B3220C">
                          <w:pPr>
                            <w:pStyle w:val="Subtitle"/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 w:rsidRPr="003742A4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FD72BD" w:rsidRPr="001B6FD3">
            <w:rPr>
              <w:rFonts w:ascii="Trebuchet MS" w:hAnsi="Trebuchet MS"/>
              <w:sz w:val="22"/>
              <w:szCs w:val="2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7110F152" w14:textId="77777777" w:rsidR="000773F0" w:rsidRPr="001B6FD3" w:rsidRDefault="000773F0" w:rsidP="000773F0">
      <w:pPr>
        <w:widowControl w:val="0"/>
        <w:pBdr>
          <w:top w:val="single" w:sz="4" w:space="1" w:color="auto"/>
        </w:pBdr>
        <w:spacing w:before="100" w:after="240"/>
        <w:jc w:val="center"/>
        <w:rPr>
          <w:rFonts w:ascii="Trebuchet MS" w:eastAsia="Times New Roman" w:hAnsi="Trebuchet MS" w:cs="Times New Roman"/>
          <w:b/>
          <w:snapToGrid w:val="0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b/>
          <w:snapToGrid w:val="0"/>
          <w:sz w:val="22"/>
          <w:szCs w:val="22"/>
          <w:lang w:val="en-GB"/>
        </w:rPr>
        <w:lastRenderedPageBreak/>
        <w:t>RISK INDICATORS PROCUREMENT</w:t>
      </w:r>
    </w:p>
    <w:p w14:paraId="53789DAA" w14:textId="6FF1AADF" w:rsidR="001B6FD3" w:rsidRPr="001B6FD3" w:rsidRDefault="000773F0" w:rsidP="001B6FD3">
      <w:pPr>
        <w:pStyle w:val="Heading3"/>
        <w:numPr>
          <w:ilvl w:val="0"/>
          <w:numId w:val="34"/>
        </w:numPr>
        <w:rPr>
          <w:rFonts w:ascii="Trebuchet MS" w:hAnsi="Trebuchet MS"/>
          <w:b/>
          <w:szCs w:val="22"/>
          <w:lang w:val="en-GB"/>
        </w:rPr>
      </w:pPr>
      <w:r w:rsidRPr="001B6FD3">
        <w:rPr>
          <w:rFonts w:ascii="Trebuchet MS" w:hAnsi="Trebuchet MS"/>
          <w:szCs w:val="22"/>
          <w:lang w:val="en-GB"/>
        </w:rPr>
        <w:t xml:space="preserve">Inconsistencies in the dates of the documents or illogical sequence of dates. </w:t>
      </w:r>
    </w:p>
    <w:p w14:paraId="6273DA71" w14:textId="77777777" w:rsidR="001B6FD3" w:rsidRPr="001B6FD3" w:rsidRDefault="001B6FD3" w:rsidP="001B6FD3">
      <w:pPr>
        <w:pStyle w:val="ListParagraph"/>
        <w:spacing w:after="12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3206BEB7" w14:textId="55456656" w:rsidR="000773F0" w:rsidRPr="001B6FD3" w:rsidRDefault="000773F0" w:rsidP="001B6FD3">
      <w:pPr>
        <w:pStyle w:val="ListParagraph"/>
        <w:spacing w:after="120"/>
        <w:jc w:val="both"/>
        <w:rPr>
          <w:rFonts w:ascii="Trebuchet MS" w:eastAsia="Times New Roman" w:hAnsi="Trebuchet MS" w:cs="Times New Roman"/>
          <w:b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b/>
          <w:sz w:val="22"/>
          <w:szCs w:val="22"/>
          <w:lang w:val="en-GB"/>
        </w:rPr>
        <w:t>Examples:</w:t>
      </w:r>
    </w:p>
    <w:p w14:paraId="47CF49EC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Tender dated after the award of contract or before the sending of the invitations to tender</w:t>
      </w:r>
    </w:p>
    <w:p w14:paraId="7653BB99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Tender by the winning tenderer dated before the publication date of the tender or dated significantly later than tenders from other tenderers</w:t>
      </w:r>
    </w:p>
    <w:p w14:paraId="0550C6C2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Tenders by different candidates all having the same date</w:t>
      </w:r>
    </w:p>
    <w:p w14:paraId="06E5C2CB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Dates on documents not plausible/consistent with dates on accompanying documentation (e.g. date on the tender not plausible/consistent with the postal date on the envelope; date of a fax not plausible/consistent with the printed date of the fax machine)</w:t>
      </w:r>
    </w:p>
    <w:p w14:paraId="376E8FB5" w14:textId="77777777" w:rsidR="000773F0" w:rsidRPr="001B6FD3" w:rsidRDefault="000773F0" w:rsidP="000773F0">
      <w:pPr>
        <w:pStyle w:val="ListParagraph"/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76BD7279" w14:textId="35B7A1CE" w:rsidR="001B6FD3" w:rsidRPr="001B6FD3" w:rsidRDefault="000773F0" w:rsidP="001B6FD3">
      <w:pPr>
        <w:pStyle w:val="Heading3"/>
        <w:numPr>
          <w:ilvl w:val="0"/>
          <w:numId w:val="34"/>
        </w:numPr>
        <w:rPr>
          <w:rFonts w:ascii="Trebuchet MS" w:hAnsi="Trebuchet MS"/>
          <w:szCs w:val="22"/>
          <w:lang w:val="en-GB"/>
        </w:rPr>
      </w:pPr>
      <w:r w:rsidRPr="001B6FD3">
        <w:rPr>
          <w:rFonts w:ascii="Trebuchet MS" w:hAnsi="Trebuchet MS"/>
          <w:szCs w:val="22"/>
          <w:lang w:val="en-GB"/>
        </w:rPr>
        <w:t xml:space="preserve">Unusual similarities in tenders by candidates participating in the same tender. </w:t>
      </w:r>
    </w:p>
    <w:p w14:paraId="37DE6F18" w14:textId="77777777" w:rsidR="001B6FD3" w:rsidRDefault="001B6FD3" w:rsidP="001B6FD3">
      <w:pPr>
        <w:pStyle w:val="ListParagraph"/>
        <w:spacing w:after="12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278BE1CE" w14:textId="5CDD7BAC" w:rsidR="000773F0" w:rsidRPr="001B6FD3" w:rsidRDefault="000773F0" w:rsidP="001B6FD3">
      <w:pPr>
        <w:pStyle w:val="ListParagraph"/>
        <w:spacing w:after="120"/>
        <w:jc w:val="both"/>
        <w:rPr>
          <w:rFonts w:ascii="Trebuchet MS" w:eastAsia="Times New Roman" w:hAnsi="Trebuchet MS" w:cs="Times New Roman"/>
          <w:b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b/>
          <w:sz w:val="22"/>
          <w:szCs w:val="22"/>
          <w:lang w:val="en-GB"/>
        </w:rPr>
        <w:t>Examples:</w:t>
      </w:r>
    </w:p>
    <w:p w14:paraId="3C626784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Same wording, sentences and terminology in tenders from different tenderers</w:t>
      </w:r>
    </w:p>
    <w:p w14:paraId="2629F7F7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Same layout and format (e.g. font type, font size, margin sizes, indents, paragraph wrapping, etc.) in tenders from different tenderers</w:t>
      </w:r>
    </w:p>
    <w:p w14:paraId="331A7D5F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Similar letterhead paper or logos</w:t>
      </w:r>
    </w:p>
    <w:p w14:paraId="1A4879A9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Same prices used in tenders from different tenderers for a number of subcomponents or line items</w:t>
      </w:r>
    </w:p>
    <w:p w14:paraId="696FFB32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Identical grammar, spelling or typing errors in tenders from different tenderers</w:t>
      </w:r>
    </w:p>
    <w:p w14:paraId="08048CDA" w14:textId="08A51431" w:rsidR="000773F0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Use of similar stamps and similarities in signatures</w:t>
      </w:r>
    </w:p>
    <w:p w14:paraId="40045FFC" w14:textId="77777777" w:rsidR="001B6FD3" w:rsidRPr="001B6FD3" w:rsidRDefault="001B6FD3" w:rsidP="001B6FD3">
      <w:pPr>
        <w:pStyle w:val="ListParagraph"/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2F1F2393" w14:textId="33E05C07" w:rsidR="001B6FD3" w:rsidRDefault="000773F0" w:rsidP="001B6FD3">
      <w:pPr>
        <w:pStyle w:val="ListParagraph"/>
        <w:numPr>
          <w:ilvl w:val="0"/>
          <w:numId w:val="34"/>
        </w:numPr>
        <w:spacing w:after="24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Theme="majorEastAsia" w:hAnsi="Trebuchet MS" w:cstheme="majorBidi"/>
          <w:bCs/>
          <w:color w:val="7030A0"/>
          <w:sz w:val="22"/>
          <w:szCs w:val="22"/>
          <w:lang w:val="en-GB"/>
        </w:rPr>
        <w:t>Financial statement or other information indicating that two tenderers participating in the same tender are related or part of the same group</w:t>
      </w:r>
      <w:r w:rsidR="001B6FD3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. </w:t>
      </w:r>
    </w:p>
    <w:p w14:paraId="4E1692A1" w14:textId="77777777" w:rsidR="001B6FD3" w:rsidRDefault="001B6FD3" w:rsidP="001B6FD3">
      <w:pPr>
        <w:pStyle w:val="ListParagraph"/>
        <w:spacing w:after="24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51418D21" w14:textId="276F1442" w:rsidR="000773F0" w:rsidRPr="001B6FD3" w:rsidRDefault="001B6FD3" w:rsidP="001B6FD3">
      <w:pPr>
        <w:pStyle w:val="ListParagraph"/>
        <w:spacing w:after="24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>
        <w:rPr>
          <w:rFonts w:ascii="Trebuchet MS" w:eastAsia="Times New Roman" w:hAnsi="Trebuchet MS" w:cs="Times New Roman"/>
          <w:sz w:val="22"/>
          <w:szCs w:val="22"/>
          <w:lang w:val="en-GB"/>
        </w:rPr>
        <w:t>W</w:t>
      </w:r>
      <w:r w:rsidR="000773F0"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here financial statements are provided, the notes to the financial statements may disclose </w:t>
      </w:r>
      <w:r>
        <w:rPr>
          <w:rFonts w:ascii="Trebuchet MS" w:eastAsia="Times New Roman" w:hAnsi="Trebuchet MS" w:cs="Times New Roman"/>
          <w:sz w:val="22"/>
          <w:szCs w:val="22"/>
          <w:lang w:val="en-GB"/>
        </w:rPr>
        <w:t>ultimate ownership of the group; o</w:t>
      </w:r>
      <w:r w:rsidR="000773F0"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wnership information may also be found in public registers f</w:t>
      </w:r>
      <w:r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or accounts. </w:t>
      </w:r>
    </w:p>
    <w:p w14:paraId="5AD0166F" w14:textId="77777777" w:rsidR="000773F0" w:rsidRPr="001B6FD3" w:rsidRDefault="000773F0" w:rsidP="000773F0">
      <w:pPr>
        <w:pStyle w:val="ListParagraph"/>
        <w:tabs>
          <w:tab w:val="num" w:pos="283"/>
        </w:tabs>
        <w:spacing w:after="24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7BF98C4B" w14:textId="6B68E6EA" w:rsidR="000773F0" w:rsidRPr="001B6FD3" w:rsidRDefault="000773F0" w:rsidP="001B6FD3">
      <w:pPr>
        <w:pStyle w:val="ListParagraph"/>
        <w:numPr>
          <w:ilvl w:val="0"/>
          <w:numId w:val="34"/>
        </w:numPr>
        <w:spacing w:after="120"/>
        <w:jc w:val="both"/>
        <w:rPr>
          <w:rFonts w:ascii="Trebuchet MS" w:eastAsiaTheme="majorEastAsia" w:hAnsi="Trebuchet MS" w:cstheme="majorBidi"/>
          <w:bCs/>
          <w:color w:val="7030A0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I</w:t>
      </w:r>
      <w:r w:rsidRPr="001B6FD3">
        <w:rPr>
          <w:rFonts w:ascii="Trebuchet MS" w:eastAsiaTheme="majorEastAsia" w:hAnsi="Trebuchet MS" w:cstheme="majorBidi"/>
          <w:bCs/>
          <w:color w:val="7030A0"/>
          <w:sz w:val="22"/>
          <w:szCs w:val="22"/>
          <w:lang w:val="en-GB"/>
        </w:rPr>
        <w:t xml:space="preserve">nconsistencies in the selection and award decision process. </w:t>
      </w:r>
    </w:p>
    <w:p w14:paraId="326F8F07" w14:textId="77777777" w:rsidR="001B6FD3" w:rsidRPr="001B6FD3" w:rsidRDefault="001B6FD3" w:rsidP="001B6FD3">
      <w:pPr>
        <w:pStyle w:val="ListParagraph"/>
        <w:spacing w:after="12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2F880FA2" w14:textId="77777777" w:rsidR="000773F0" w:rsidRPr="001B6FD3" w:rsidRDefault="000773F0" w:rsidP="000773F0">
      <w:pPr>
        <w:pStyle w:val="ListParagraph"/>
        <w:tabs>
          <w:tab w:val="num" w:pos="283"/>
        </w:tabs>
        <w:spacing w:after="120"/>
        <w:jc w:val="both"/>
        <w:rPr>
          <w:rFonts w:ascii="Trebuchet MS" w:eastAsia="Times New Roman" w:hAnsi="Trebuchet MS" w:cs="Times New Roman"/>
          <w:b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b/>
          <w:sz w:val="22"/>
          <w:szCs w:val="22"/>
          <w:lang w:val="en-GB"/>
        </w:rPr>
        <w:t>Examples:</w:t>
      </w:r>
    </w:p>
    <w:p w14:paraId="11CC9365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Award decisions not plausible / consistent with selection and award criteria</w:t>
      </w:r>
    </w:p>
    <w:p w14:paraId="703F3F7D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Errors in the application of the selection and award criteria</w:t>
      </w:r>
    </w:p>
    <w:p w14:paraId="45738849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A regular supplier of the beneficiary participates as a member of a tender evaluation committee</w:t>
      </w:r>
    </w:p>
    <w:p w14:paraId="7C402551" w14:textId="77777777" w:rsidR="000773F0" w:rsidRPr="001B6FD3" w:rsidRDefault="000773F0" w:rsidP="000773F0">
      <w:pPr>
        <w:pStyle w:val="ListParagraph"/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43E49B99" w14:textId="3D470A91" w:rsidR="000773F0" w:rsidRPr="002E24A6" w:rsidRDefault="000773F0" w:rsidP="001B6FD3">
      <w:pPr>
        <w:pStyle w:val="ListParagraph"/>
        <w:numPr>
          <w:ilvl w:val="0"/>
          <w:numId w:val="34"/>
        </w:numPr>
        <w:spacing w:after="120"/>
        <w:jc w:val="both"/>
        <w:rPr>
          <w:rFonts w:ascii="Trebuchet MS" w:eastAsiaTheme="majorEastAsia" w:hAnsi="Trebuchet MS" w:cstheme="majorBidi"/>
          <w:bCs/>
          <w:color w:val="7030A0"/>
          <w:sz w:val="22"/>
          <w:szCs w:val="22"/>
          <w:lang w:val="en-GB"/>
        </w:rPr>
      </w:pPr>
      <w:r w:rsidRPr="002E24A6">
        <w:rPr>
          <w:rFonts w:ascii="Trebuchet MS" w:eastAsiaTheme="majorEastAsia" w:hAnsi="Trebuchet MS" w:cstheme="majorBidi"/>
          <w:bCs/>
          <w:color w:val="7030A0"/>
          <w:sz w:val="22"/>
          <w:szCs w:val="22"/>
          <w:lang w:val="en-GB"/>
        </w:rPr>
        <w:t>Other elements and examples indicating a risk of a privileged relationship with tenderers:</w:t>
      </w:r>
    </w:p>
    <w:p w14:paraId="1B2B3152" w14:textId="77777777" w:rsidR="002E24A6" w:rsidRDefault="002E24A6" w:rsidP="002E24A6">
      <w:pPr>
        <w:pStyle w:val="ListParagraph"/>
        <w:spacing w:after="120"/>
        <w:jc w:val="both"/>
        <w:rPr>
          <w:rFonts w:ascii="Trebuchet MS" w:eastAsia="Times New Roman" w:hAnsi="Trebuchet MS" w:cs="Times New Roman"/>
          <w:b/>
          <w:sz w:val="22"/>
          <w:szCs w:val="22"/>
          <w:lang w:val="en-GB"/>
        </w:rPr>
      </w:pPr>
    </w:p>
    <w:p w14:paraId="696D3DA1" w14:textId="61C76A0F" w:rsidR="002E24A6" w:rsidRPr="002E24A6" w:rsidRDefault="002E24A6" w:rsidP="002E24A6">
      <w:pPr>
        <w:pStyle w:val="ListParagraph"/>
        <w:spacing w:after="120"/>
        <w:jc w:val="both"/>
        <w:rPr>
          <w:rFonts w:ascii="Trebuchet MS" w:eastAsia="Times New Roman" w:hAnsi="Trebuchet MS" w:cs="Times New Roman"/>
          <w:b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b/>
          <w:sz w:val="22"/>
          <w:szCs w:val="22"/>
          <w:lang w:val="en-GB"/>
        </w:rPr>
        <w:t>Examples:</w:t>
      </w:r>
    </w:p>
    <w:p w14:paraId="34320A22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The same tenderer (or small group of tenderers) is invited with unusual frequency to tender for different contracts</w:t>
      </w:r>
    </w:p>
    <w:p w14:paraId="7EBB941D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The same tenderer (or small group of tenderers) wins an unusually high proportion of the bids</w:t>
      </w:r>
    </w:p>
    <w:p w14:paraId="7D2E0D99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A tenderer is frequently awarded contracts for different types of goods or services</w:t>
      </w:r>
    </w:p>
    <w:p w14:paraId="6ACCAA87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lastRenderedPageBreak/>
        <w:t>The winning tenderer invoices additional goods not provided for in the tender (e.g. additional spare parts invoiced without clear justification, installation costs invoiced although not provided for in the tender).</w:t>
      </w:r>
    </w:p>
    <w:p w14:paraId="48B6F84D" w14:textId="77777777" w:rsidR="000773F0" w:rsidRPr="001B6FD3" w:rsidRDefault="000773F0" w:rsidP="000773F0">
      <w:pPr>
        <w:pStyle w:val="ListParagraph"/>
        <w:tabs>
          <w:tab w:val="num" w:pos="426"/>
        </w:tabs>
        <w:spacing w:after="24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2E60742C" w14:textId="3A3CA421" w:rsidR="000773F0" w:rsidRPr="002E24A6" w:rsidRDefault="000773F0" w:rsidP="001B6FD3">
      <w:pPr>
        <w:pStyle w:val="ListParagraph"/>
        <w:numPr>
          <w:ilvl w:val="0"/>
          <w:numId w:val="34"/>
        </w:numPr>
        <w:spacing w:after="120"/>
        <w:jc w:val="both"/>
        <w:rPr>
          <w:rFonts w:ascii="Trebuchet MS" w:eastAsiaTheme="majorEastAsia" w:hAnsi="Trebuchet MS" w:cstheme="majorBidi"/>
          <w:bCs/>
          <w:color w:val="7030A0"/>
          <w:sz w:val="22"/>
          <w:szCs w:val="22"/>
          <w:lang w:val="en-GB"/>
        </w:rPr>
      </w:pPr>
      <w:r w:rsidRPr="002E24A6">
        <w:rPr>
          <w:rFonts w:ascii="Trebuchet MS" w:eastAsiaTheme="majorEastAsia" w:hAnsi="Trebuchet MS" w:cstheme="majorBidi"/>
          <w:bCs/>
          <w:color w:val="7030A0"/>
          <w:sz w:val="22"/>
          <w:szCs w:val="22"/>
          <w:lang w:val="en-GB"/>
        </w:rPr>
        <w:t>Other documentation, issues and examples indicating a risk of irregularities:</w:t>
      </w:r>
    </w:p>
    <w:p w14:paraId="4371684B" w14:textId="77777777" w:rsidR="002E24A6" w:rsidRPr="001B6FD3" w:rsidRDefault="002E24A6" w:rsidP="002E24A6">
      <w:pPr>
        <w:pStyle w:val="ListParagraph"/>
        <w:spacing w:after="12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</w:p>
    <w:p w14:paraId="4555796D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Use of photocopies instead of original documents</w:t>
      </w:r>
    </w:p>
    <w:p w14:paraId="7B202256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Use of pro-forma invoices as supporting documents instead of official invoices</w:t>
      </w:r>
    </w:p>
    <w:p w14:paraId="1AD231FC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Manual changes on original documents (e.g. figures manually changed, figures ‘tippexed’, etc.)</w:t>
      </w:r>
    </w:p>
    <w:p w14:paraId="0CD44407" w14:textId="77777777" w:rsidR="000773F0" w:rsidRPr="001B6FD3" w:rsidRDefault="000773F0" w:rsidP="000773F0">
      <w:pPr>
        <w:pStyle w:val="ListParagraph"/>
        <w:numPr>
          <w:ilvl w:val="0"/>
          <w:numId w:val="32"/>
        </w:numPr>
        <w:tabs>
          <w:tab w:val="num" w:pos="426"/>
        </w:tabs>
        <w:spacing w:after="80"/>
        <w:jc w:val="both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1B6FD3">
        <w:rPr>
          <w:rFonts w:ascii="Trebuchet MS" w:eastAsia="Times New Roman" w:hAnsi="Trebuchet MS" w:cs="Times New Roman"/>
          <w:sz w:val="22"/>
          <w:szCs w:val="22"/>
          <w:lang w:val="en-GB"/>
        </w:rPr>
        <w:t>Use of non-official documents (e.g. letterhead paper not showing certain official and/or compulsory information such as commercial registry number, company tax number, etc.).</w:t>
      </w:r>
    </w:p>
    <w:p w14:paraId="6387ACC4" w14:textId="0A47A21B" w:rsidR="0075183E" w:rsidRPr="001B6FD3" w:rsidRDefault="00C80E0C" w:rsidP="00AC7971">
      <w:pPr>
        <w:pStyle w:val="Heading1"/>
        <w:tabs>
          <w:tab w:val="left" w:pos="8081"/>
        </w:tabs>
        <w:jc w:val="both"/>
        <w:rPr>
          <w:rFonts w:ascii="Trebuchet MS" w:eastAsiaTheme="minorHAnsi" w:hAnsi="Trebuchet MS" w:cstheme="minorBidi"/>
          <w:color w:val="auto"/>
          <w:sz w:val="22"/>
          <w:szCs w:val="22"/>
        </w:rPr>
      </w:pPr>
      <w:r w:rsidRPr="001B6FD3">
        <w:rPr>
          <w:rFonts w:ascii="Trebuchet MS" w:eastAsiaTheme="minorHAnsi" w:hAnsi="Trebuchet MS" w:cstheme="minorBidi"/>
          <w:color w:val="auto"/>
          <w:sz w:val="22"/>
          <w:szCs w:val="22"/>
        </w:rPr>
        <w:tab/>
      </w:r>
    </w:p>
    <w:sectPr w:rsidR="0075183E" w:rsidRPr="001B6FD3" w:rsidSect="00B925A9">
      <w:headerReference w:type="even" r:id="rId8"/>
      <w:headerReference w:type="default" r:id="rId9"/>
      <w:headerReference w:type="first" r:id="rId10"/>
      <w:pgSz w:w="11900" w:h="16840"/>
      <w:pgMar w:top="1440" w:right="985" w:bottom="1508" w:left="1440" w:header="68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DBC44" w14:textId="77777777" w:rsidR="00310CEE" w:rsidRDefault="00310CEE" w:rsidP="002D5A83">
      <w:r>
        <w:separator/>
      </w:r>
    </w:p>
  </w:endnote>
  <w:endnote w:type="continuationSeparator" w:id="0">
    <w:p w14:paraId="3A472AB1" w14:textId="77777777" w:rsidR="00310CEE" w:rsidRDefault="00310CEE" w:rsidP="002D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BA4FC" w14:textId="77777777" w:rsidR="00310CEE" w:rsidRDefault="00310CEE" w:rsidP="002D5A83">
      <w:r>
        <w:separator/>
      </w:r>
    </w:p>
  </w:footnote>
  <w:footnote w:type="continuationSeparator" w:id="0">
    <w:p w14:paraId="6E1827E7" w14:textId="77777777" w:rsidR="00310CEE" w:rsidRDefault="00310CEE" w:rsidP="002D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AAEC6" w14:textId="2A027980" w:rsidR="00F04A54" w:rsidRDefault="00F04A54">
    <w:pPr>
      <w:pStyle w:val="Header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</w:t>
    </w:r>
  </w:p>
  <w:p w14:paraId="50501044" w14:textId="7F7F7F15" w:rsidR="00F04A54" w:rsidRDefault="00F04A54">
    <w:pPr>
      <w:pStyle w:val="Header"/>
    </w:pPr>
    <w:r>
      <w:rPr>
        <w:noProof/>
        <w:lang w:val="en-GB" w:eastAsia="en-GB"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D68E6" w14:textId="70F17853" w:rsidR="00C80E0C" w:rsidRDefault="00C80E0C">
    <w:pPr>
      <w:pStyle w:val="Header"/>
    </w:pPr>
  </w:p>
  <w:p w14:paraId="4D9E0803" w14:textId="7A56035B" w:rsidR="00C80E0C" w:rsidRDefault="00C80E0C">
    <w:pPr>
      <w:pStyle w:val="Header"/>
    </w:pPr>
  </w:p>
  <w:p w14:paraId="4C8E8A52" w14:textId="1439C8C3" w:rsidR="00C80E0C" w:rsidRDefault="00C80E0C">
    <w:pPr>
      <w:pStyle w:val="Header"/>
    </w:pPr>
  </w:p>
  <w:p w14:paraId="7343C774" w14:textId="77777777" w:rsidR="00C80E0C" w:rsidRDefault="00C80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301F3" w14:textId="3A0A40E6" w:rsidR="00716533" w:rsidRDefault="001B6FD3" w:rsidP="001B6FD3">
    <w:pPr>
      <w:pStyle w:val="Header"/>
      <w:jc w:val="right"/>
    </w:pPr>
    <w:r w:rsidRPr="00716533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4E86A1" wp14:editId="035EA41C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1828800" cy="1828800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49C012" w14:textId="77777777" w:rsidR="00716533" w:rsidRDefault="00716533" w:rsidP="00716533">
                          <w:pPr>
                            <w:jc w:val="both"/>
                            <w:rPr>
                              <w:rFonts w:cs="Calibri"/>
                              <w:sz w:val="28"/>
                              <w:szCs w:val="28"/>
                              <w:lang w:val="en-GB"/>
                            </w:rPr>
                          </w:pPr>
                          <w:r w:rsidRPr="00464058">
                            <w:rPr>
                              <w:rFonts w:cs="Calibri"/>
                              <w:sz w:val="28"/>
                              <w:szCs w:val="28"/>
                              <w:lang w:val="en-GB"/>
                            </w:rPr>
                            <w:object w:dxaOrig="1458" w:dyaOrig="972" w14:anchorId="6136258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2.9pt;height:48.6pt">
                                <v:imagedata r:id="rId1" o:title="" blacklevel="-5898f"/>
                              </v:shape>
                              <o:OLEObject Type="Embed" ProgID="Word.Picture.8" ShapeID="_x0000_i1026" DrawAspect="Content" ObjectID="_1659257671" r:id="rId2"/>
                            </w:object>
                          </w:r>
                        </w:p>
                        <w:p w14:paraId="295A5632" w14:textId="77777777" w:rsidR="00716533" w:rsidRPr="00716533" w:rsidRDefault="00716533" w:rsidP="00716533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en-GB"/>
                            </w:rPr>
                          </w:pPr>
                          <w:r w:rsidRPr="00716533"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  <w:lang w:val="en-GB"/>
                            </w:rPr>
                            <w:t>Programme funded by the</w:t>
                          </w:r>
                        </w:p>
                        <w:p w14:paraId="09A9861F" w14:textId="77777777" w:rsidR="00716533" w:rsidRPr="00716533" w:rsidRDefault="00716533" w:rsidP="00716533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</w:pPr>
                          <w:r w:rsidRPr="00716533"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  <w:lang w:val="en-GB"/>
                            </w:rPr>
                            <w:t>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E86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65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" filled="f" stroked="f" strokeweight=".5pt">
              <v:textbox style="mso-fit-shape-to-text:t">
                <w:txbxContent>
                  <w:p w14:paraId="7549C012" w14:textId="77777777" w:rsidR="00716533" w:rsidRDefault="00716533" w:rsidP="00716533">
                    <w:pPr>
                      <w:jc w:val="both"/>
                      <w:rPr>
                        <w:rFonts w:cs="Calibri"/>
                        <w:sz w:val="28"/>
                        <w:szCs w:val="28"/>
                        <w:lang w:val="en-GB"/>
                      </w:rPr>
                    </w:pPr>
                    <w:r w:rsidRPr="00464058">
                      <w:rPr>
                        <w:rFonts w:cs="Calibri"/>
                        <w:sz w:val="28"/>
                        <w:szCs w:val="28"/>
                        <w:lang w:val="en-GB"/>
                      </w:rPr>
                      <w:object w:dxaOrig="1459" w:dyaOrig="974" w14:anchorId="61362581">
                        <v:shape id="_x0000_i1034" type="#_x0000_t75" style="width:72.9pt;height:48.6pt">
                          <v:imagedata r:id="rId3" o:title="" blacklevel="-5898f"/>
                        </v:shape>
                        <o:OLEObject Type="Embed" ProgID="Word.Picture.8" ShapeID="_x0000_i1034" DrawAspect="Content" ObjectID="_1643452130" r:id="rId4"/>
                      </w:object>
                    </w:r>
                  </w:p>
                  <w:p w14:paraId="295A5632" w14:textId="77777777" w:rsidR="00716533" w:rsidRPr="00716533" w:rsidRDefault="00716533" w:rsidP="00716533">
                    <w:pPr>
                      <w:jc w:val="both"/>
                      <w:rPr>
                        <w:rFonts w:ascii="Times New Roman" w:hAnsi="Times New Roman" w:cs="Times New Roman"/>
                        <w:sz w:val="28"/>
                        <w:szCs w:val="28"/>
                        <w:lang w:val="en-GB"/>
                      </w:rPr>
                    </w:pPr>
                    <w:r w:rsidRPr="00716533"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  <w:lang w:val="en-GB"/>
                      </w:rPr>
                      <w:t>Programme funded by the</w:t>
                    </w:r>
                  </w:p>
                  <w:p w14:paraId="09A9861F" w14:textId="77777777" w:rsidR="00716533" w:rsidRPr="00716533" w:rsidRDefault="00716533" w:rsidP="00716533">
                    <w:pPr>
                      <w:jc w:val="both"/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</w:pPr>
                    <w:r w:rsidRPr="00716533"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  <w:lang w:val="en-GB"/>
                      </w:rPr>
                      <w:t>EUROPEAN UNION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B44A7">
      <w:rPr>
        <w:noProof/>
      </w:rPr>
      <w:drawing>
        <wp:inline distT="0" distB="0" distL="0" distR="0" wp14:anchorId="36688661" wp14:editId="3996FB0F">
          <wp:extent cx="1303020" cy="754380"/>
          <wp:effectExtent l="0" t="0" r="0" b="7620"/>
          <wp:docPr id="37" name="Picture 37" descr="d:\Users\georgianap\Desktop\template-uri  ROMD\sigla ROMD e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d:\Users\georgianap\Desktop\template-uri  ROMD\sigla ROMD en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13228" w14:textId="71665055" w:rsidR="00716533" w:rsidRDefault="00716533">
    <w:pPr>
      <w:pStyle w:val="Header"/>
    </w:pPr>
  </w:p>
  <w:p w14:paraId="5E6C37EB" w14:textId="7433BA96" w:rsidR="00716533" w:rsidRDefault="00716533">
    <w:pPr>
      <w:pStyle w:val="Header"/>
    </w:pPr>
  </w:p>
  <w:p w14:paraId="7A8D30A2" w14:textId="7433BA96" w:rsidR="00716533" w:rsidRDefault="00716533">
    <w:pPr>
      <w:pStyle w:val="Header"/>
    </w:pPr>
  </w:p>
  <w:p w14:paraId="278E23DD" w14:textId="77777777" w:rsidR="00716533" w:rsidRDefault="00716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2EB"/>
    <w:multiLevelType w:val="multilevel"/>
    <w:tmpl w:val="D016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1" w15:restartNumberingAfterBreak="0">
    <w:nsid w:val="037D78F4"/>
    <w:multiLevelType w:val="hybridMultilevel"/>
    <w:tmpl w:val="461608A8"/>
    <w:lvl w:ilvl="0" w:tplc="062AD618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7110CDC2">
      <w:numFmt w:val="bullet"/>
      <w:lvlText w:val="•"/>
      <w:lvlJc w:val="left"/>
      <w:pPr>
        <w:ind w:left="1440" w:hanging="360"/>
      </w:pPr>
      <w:rPr>
        <w:rFonts w:ascii="Century Gothic" w:eastAsiaTheme="majorEastAsia" w:hAnsi="Century Gothic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332"/>
    <w:multiLevelType w:val="hybridMultilevel"/>
    <w:tmpl w:val="CB2AC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C63"/>
    <w:multiLevelType w:val="hybridMultilevel"/>
    <w:tmpl w:val="4DB44F4A"/>
    <w:lvl w:ilvl="0" w:tplc="062AD618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0490"/>
    <w:multiLevelType w:val="multilevel"/>
    <w:tmpl w:val="DDDA8F7E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347FD9"/>
    <w:multiLevelType w:val="hybridMultilevel"/>
    <w:tmpl w:val="E6062000"/>
    <w:lvl w:ilvl="0" w:tplc="097E9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A07C2"/>
    <w:multiLevelType w:val="hybridMultilevel"/>
    <w:tmpl w:val="A506432E"/>
    <w:lvl w:ilvl="0" w:tplc="25DEFB3A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1A50"/>
    <w:multiLevelType w:val="multilevel"/>
    <w:tmpl w:val="4A88AA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E0B6862"/>
    <w:multiLevelType w:val="multilevel"/>
    <w:tmpl w:val="A8068656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D3A98"/>
    <w:multiLevelType w:val="multilevel"/>
    <w:tmpl w:val="3F32EAD4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4A2F10"/>
    <w:multiLevelType w:val="hybridMultilevel"/>
    <w:tmpl w:val="6004CE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123F2"/>
    <w:multiLevelType w:val="hybridMultilevel"/>
    <w:tmpl w:val="F1165A90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163F3"/>
    <w:multiLevelType w:val="multilevel"/>
    <w:tmpl w:val="C7D23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1D0232"/>
    <w:multiLevelType w:val="hybridMultilevel"/>
    <w:tmpl w:val="EA9E2F54"/>
    <w:lvl w:ilvl="0" w:tplc="080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4A432656"/>
    <w:multiLevelType w:val="multilevel"/>
    <w:tmpl w:val="0A8CDF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C9648D2"/>
    <w:multiLevelType w:val="hybridMultilevel"/>
    <w:tmpl w:val="CD84D3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81C97"/>
    <w:multiLevelType w:val="hybridMultilevel"/>
    <w:tmpl w:val="15DABDA8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82B3C"/>
    <w:multiLevelType w:val="hybridMultilevel"/>
    <w:tmpl w:val="0CA0D52E"/>
    <w:lvl w:ilvl="0" w:tplc="7946FABE">
      <w:numFmt w:val="bullet"/>
      <w:lvlText w:val="–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A3A"/>
    <w:multiLevelType w:val="hybridMultilevel"/>
    <w:tmpl w:val="162E4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65FF1"/>
    <w:multiLevelType w:val="hybridMultilevel"/>
    <w:tmpl w:val="C4801AE4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F59E9"/>
    <w:multiLevelType w:val="hybridMultilevel"/>
    <w:tmpl w:val="1742884C"/>
    <w:lvl w:ilvl="0" w:tplc="8A80E6B2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D61EAE"/>
    <w:multiLevelType w:val="hybridMultilevel"/>
    <w:tmpl w:val="485096FA"/>
    <w:lvl w:ilvl="0" w:tplc="8A80E6B2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9C41B1"/>
    <w:multiLevelType w:val="hybridMultilevel"/>
    <w:tmpl w:val="A84AB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2724E"/>
    <w:multiLevelType w:val="multilevel"/>
    <w:tmpl w:val="DDDA8F7E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802D0B"/>
    <w:multiLevelType w:val="hybridMultilevel"/>
    <w:tmpl w:val="DA9660C0"/>
    <w:lvl w:ilvl="0" w:tplc="7EF60B90">
      <w:numFmt w:val="bullet"/>
      <w:lvlText w:val="-"/>
      <w:lvlJc w:val="left"/>
      <w:pPr>
        <w:ind w:left="135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79D3826"/>
    <w:multiLevelType w:val="hybridMultilevel"/>
    <w:tmpl w:val="7142851C"/>
    <w:lvl w:ilvl="0" w:tplc="8A80E6B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83965"/>
    <w:multiLevelType w:val="hybridMultilevel"/>
    <w:tmpl w:val="F670F286"/>
    <w:lvl w:ilvl="0" w:tplc="9B9ADCB0">
      <w:start w:val="1"/>
      <w:numFmt w:val="upperLetter"/>
      <w:lvlText w:val="%1."/>
      <w:lvlJc w:val="left"/>
      <w:pPr>
        <w:ind w:left="3336" w:hanging="360"/>
      </w:pPr>
      <w:rPr>
        <w:rFonts w:hint="default"/>
        <w:color w:val="993366"/>
      </w:rPr>
    </w:lvl>
    <w:lvl w:ilvl="1" w:tplc="0C0A0019" w:tentative="1">
      <w:start w:val="1"/>
      <w:numFmt w:val="lowerLetter"/>
      <w:lvlText w:val="%2."/>
      <w:lvlJc w:val="left"/>
      <w:pPr>
        <w:ind w:left="4056" w:hanging="360"/>
      </w:pPr>
    </w:lvl>
    <w:lvl w:ilvl="2" w:tplc="0C0A001B" w:tentative="1">
      <w:start w:val="1"/>
      <w:numFmt w:val="lowerRoman"/>
      <w:lvlText w:val="%3."/>
      <w:lvlJc w:val="right"/>
      <w:pPr>
        <w:ind w:left="4776" w:hanging="180"/>
      </w:pPr>
    </w:lvl>
    <w:lvl w:ilvl="3" w:tplc="0C0A000F" w:tentative="1">
      <w:start w:val="1"/>
      <w:numFmt w:val="decimal"/>
      <w:lvlText w:val="%4."/>
      <w:lvlJc w:val="left"/>
      <w:pPr>
        <w:ind w:left="5496" w:hanging="360"/>
      </w:pPr>
    </w:lvl>
    <w:lvl w:ilvl="4" w:tplc="0C0A0019" w:tentative="1">
      <w:start w:val="1"/>
      <w:numFmt w:val="lowerLetter"/>
      <w:lvlText w:val="%5."/>
      <w:lvlJc w:val="left"/>
      <w:pPr>
        <w:ind w:left="6216" w:hanging="360"/>
      </w:pPr>
    </w:lvl>
    <w:lvl w:ilvl="5" w:tplc="0C0A001B" w:tentative="1">
      <w:start w:val="1"/>
      <w:numFmt w:val="lowerRoman"/>
      <w:lvlText w:val="%6."/>
      <w:lvlJc w:val="right"/>
      <w:pPr>
        <w:ind w:left="6936" w:hanging="180"/>
      </w:pPr>
    </w:lvl>
    <w:lvl w:ilvl="6" w:tplc="0C0A000F" w:tentative="1">
      <w:start w:val="1"/>
      <w:numFmt w:val="decimal"/>
      <w:lvlText w:val="%7."/>
      <w:lvlJc w:val="left"/>
      <w:pPr>
        <w:ind w:left="7656" w:hanging="360"/>
      </w:pPr>
    </w:lvl>
    <w:lvl w:ilvl="7" w:tplc="0C0A0019" w:tentative="1">
      <w:start w:val="1"/>
      <w:numFmt w:val="lowerLetter"/>
      <w:lvlText w:val="%8."/>
      <w:lvlJc w:val="left"/>
      <w:pPr>
        <w:ind w:left="8376" w:hanging="360"/>
      </w:pPr>
    </w:lvl>
    <w:lvl w:ilvl="8" w:tplc="0C0A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9" w15:restartNumberingAfterBreak="0">
    <w:nsid w:val="6BF035D2"/>
    <w:multiLevelType w:val="hybridMultilevel"/>
    <w:tmpl w:val="C7465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774B0"/>
    <w:multiLevelType w:val="hybridMultilevel"/>
    <w:tmpl w:val="8A22DDC6"/>
    <w:lvl w:ilvl="0" w:tplc="3560FC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800" w:hanging="360"/>
      </w:pPr>
    </w:lvl>
    <w:lvl w:ilvl="2" w:tplc="08090005" w:tentative="1">
      <w:start w:val="1"/>
      <w:numFmt w:val="lowerRoman"/>
      <w:lvlText w:val="%3."/>
      <w:lvlJc w:val="right"/>
      <w:pPr>
        <w:ind w:left="2520" w:hanging="180"/>
      </w:pPr>
    </w:lvl>
    <w:lvl w:ilvl="3" w:tplc="40D2097A" w:tentative="1">
      <w:start w:val="1"/>
      <w:numFmt w:val="decimal"/>
      <w:lvlText w:val="%4."/>
      <w:lvlJc w:val="left"/>
      <w:pPr>
        <w:ind w:left="3240" w:hanging="360"/>
      </w:pPr>
    </w:lvl>
    <w:lvl w:ilvl="4" w:tplc="08090003" w:tentative="1">
      <w:start w:val="1"/>
      <w:numFmt w:val="lowerLetter"/>
      <w:lvlText w:val="%5."/>
      <w:lvlJc w:val="left"/>
      <w:pPr>
        <w:ind w:left="3960" w:hanging="360"/>
      </w:pPr>
    </w:lvl>
    <w:lvl w:ilvl="5" w:tplc="08090005" w:tentative="1">
      <w:start w:val="1"/>
      <w:numFmt w:val="lowerRoman"/>
      <w:lvlText w:val="%6."/>
      <w:lvlJc w:val="right"/>
      <w:pPr>
        <w:ind w:left="4680" w:hanging="180"/>
      </w:pPr>
    </w:lvl>
    <w:lvl w:ilvl="6" w:tplc="08090001" w:tentative="1">
      <w:start w:val="1"/>
      <w:numFmt w:val="decimal"/>
      <w:lvlText w:val="%7."/>
      <w:lvlJc w:val="left"/>
      <w:pPr>
        <w:ind w:left="5400" w:hanging="360"/>
      </w:pPr>
    </w:lvl>
    <w:lvl w:ilvl="7" w:tplc="08090003" w:tentative="1">
      <w:start w:val="1"/>
      <w:numFmt w:val="lowerLetter"/>
      <w:lvlText w:val="%8."/>
      <w:lvlJc w:val="left"/>
      <w:pPr>
        <w:ind w:left="6120" w:hanging="360"/>
      </w:pPr>
    </w:lvl>
    <w:lvl w:ilvl="8" w:tplc="08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44472A"/>
    <w:multiLevelType w:val="hybridMultilevel"/>
    <w:tmpl w:val="AAD4FB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23"/>
  </w:num>
  <w:num w:numId="10">
    <w:abstractNumId w:val="11"/>
  </w:num>
  <w:num w:numId="11">
    <w:abstractNumId w:val="16"/>
  </w:num>
  <w:num w:numId="12">
    <w:abstractNumId w:val="17"/>
  </w:num>
  <w:num w:numId="13">
    <w:abstractNumId w:val="19"/>
  </w:num>
  <w:num w:numId="14">
    <w:abstractNumId w:val="26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2"/>
  </w:num>
  <w:num w:numId="20">
    <w:abstractNumId w:val="20"/>
  </w:num>
  <w:num w:numId="21">
    <w:abstractNumId w:val="8"/>
  </w:num>
  <w:num w:numId="22">
    <w:abstractNumId w:val="24"/>
  </w:num>
  <w:num w:numId="23">
    <w:abstractNumId w:val="4"/>
  </w:num>
  <w:num w:numId="24">
    <w:abstractNumId w:val="9"/>
  </w:num>
  <w:num w:numId="25">
    <w:abstractNumId w:val="26"/>
  </w:num>
  <w:num w:numId="26">
    <w:abstractNumId w:val="21"/>
  </w:num>
  <w:num w:numId="27">
    <w:abstractNumId w:val="30"/>
  </w:num>
  <w:num w:numId="28">
    <w:abstractNumId w:val="25"/>
  </w:num>
  <w:num w:numId="29">
    <w:abstractNumId w:val="7"/>
  </w:num>
  <w:num w:numId="30">
    <w:abstractNumId w:val="13"/>
  </w:num>
  <w:num w:numId="31">
    <w:abstractNumId w:val="18"/>
  </w:num>
  <w:num w:numId="32">
    <w:abstractNumId w:val="6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83"/>
    <w:rsid w:val="00000167"/>
    <w:rsid w:val="000036BA"/>
    <w:rsid w:val="00020378"/>
    <w:rsid w:val="0002148C"/>
    <w:rsid w:val="000275CB"/>
    <w:rsid w:val="00050AD9"/>
    <w:rsid w:val="00053E43"/>
    <w:rsid w:val="00067F31"/>
    <w:rsid w:val="000773F0"/>
    <w:rsid w:val="00091D59"/>
    <w:rsid w:val="0009589C"/>
    <w:rsid w:val="00097822"/>
    <w:rsid w:val="000B5E41"/>
    <w:rsid w:val="000C6AB5"/>
    <w:rsid w:val="000C7939"/>
    <w:rsid w:val="000D282A"/>
    <w:rsid w:val="000D42CE"/>
    <w:rsid w:val="000E1101"/>
    <w:rsid w:val="000F2705"/>
    <w:rsid w:val="000F3EF7"/>
    <w:rsid w:val="0010482B"/>
    <w:rsid w:val="0011662B"/>
    <w:rsid w:val="00123E96"/>
    <w:rsid w:val="00127AF8"/>
    <w:rsid w:val="00156B14"/>
    <w:rsid w:val="001627CF"/>
    <w:rsid w:val="00191E23"/>
    <w:rsid w:val="00194DA2"/>
    <w:rsid w:val="0019753C"/>
    <w:rsid w:val="001B0216"/>
    <w:rsid w:val="001B06DC"/>
    <w:rsid w:val="001B6FD3"/>
    <w:rsid w:val="001C1BB0"/>
    <w:rsid w:val="001C425B"/>
    <w:rsid w:val="002014D7"/>
    <w:rsid w:val="00207E27"/>
    <w:rsid w:val="00217605"/>
    <w:rsid w:val="002264D1"/>
    <w:rsid w:val="0023265E"/>
    <w:rsid w:val="0029077C"/>
    <w:rsid w:val="002B54F7"/>
    <w:rsid w:val="002C1480"/>
    <w:rsid w:val="002D0495"/>
    <w:rsid w:val="002D0ADD"/>
    <w:rsid w:val="002D4F75"/>
    <w:rsid w:val="002D5A83"/>
    <w:rsid w:val="002E24A6"/>
    <w:rsid w:val="002F31D0"/>
    <w:rsid w:val="00302BA4"/>
    <w:rsid w:val="00303AFD"/>
    <w:rsid w:val="00310CEE"/>
    <w:rsid w:val="00311890"/>
    <w:rsid w:val="00312D5B"/>
    <w:rsid w:val="00314D25"/>
    <w:rsid w:val="00334CB4"/>
    <w:rsid w:val="003356A0"/>
    <w:rsid w:val="00366566"/>
    <w:rsid w:val="003742A4"/>
    <w:rsid w:val="00374B79"/>
    <w:rsid w:val="003804A3"/>
    <w:rsid w:val="00393852"/>
    <w:rsid w:val="003F05E4"/>
    <w:rsid w:val="003F5289"/>
    <w:rsid w:val="00400497"/>
    <w:rsid w:val="004065DD"/>
    <w:rsid w:val="0040792C"/>
    <w:rsid w:val="00421F4F"/>
    <w:rsid w:val="004250D0"/>
    <w:rsid w:val="00426BDA"/>
    <w:rsid w:val="004409A4"/>
    <w:rsid w:val="00445B67"/>
    <w:rsid w:val="00483B5D"/>
    <w:rsid w:val="004A0311"/>
    <w:rsid w:val="004F7F13"/>
    <w:rsid w:val="00516834"/>
    <w:rsid w:val="00525482"/>
    <w:rsid w:val="005410FB"/>
    <w:rsid w:val="0058159A"/>
    <w:rsid w:val="005B119F"/>
    <w:rsid w:val="005E4729"/>
    <w:rsid w:val="005F314A"/>
    <w:rsid w:val="0064695F"/>
    <w:rsid w:val="006605BF"/>
    <w:rsid w:val="00671198"/>
    <w:rsid w:val="00672CBF"/>
    <w:rsid w:val="00683102"/>
    <w:rsid w:val="006C4BAB"/>
    <w:rsid w:val="006C7824"/>
    <w:rsid w:val="006E4769"/>
    <w:rsid w:val="006E7439"/>
    <w:rsid w:val="00716533"/>
    <w:rsid w:val="00726A64"/>
    <w:rsid w:val="007320CB"/>
    <w:rsid w:val="007434E1"/>
    <w:rsid w:val="0075183E"/>
    <w:rsid w:val="00767547"/>
    <w:rsid w:val="007932DF"/>
    <w:rsid w:val="00795A11"/>
    <w:rsid w:val="007975E4"/>
    <w:rsid w:val="007A078D"/>
    <w:rsid w:val="007D1F70"/>
    <w:rsid w:val="007D2A29"/>
    <w:rsid w:val="007E6FC6"/>
    <w:rsid w:val="00803339"/>
    <w:rsid w:val="008079EA"/>
    <w:rsid w:val="00832779"/>
    <w:rsid w:val="00835C97"/>
    <w:rsid w:val="008527DA"/>
    <w:rsid w:val="00855B34"/>
    <w:rsid w:val="0085679E"/>
    <w:rsid w:val="008667AD"/>
    <w:rsid w:val="00875966"/>
    <w:rsid w:val="00877742"/>
    <w:rsid w:val="00881657"/>
    <w:rsid w:val="008A16DA"/>
    <w:rsid w:val="008C6229"/>
    <w:rsid w:val="008D6463"/>
    <w:rsid w:val="00905790"/>
    <w:rsid w:val="00914D67"/>
    <w:rsid w:val="009240F6"/>
    <w:rsid w:val="00937A99"/>
    <w:rsid w:val="0094705E"/>
    <w:rsid w:val="00963FAC"/>
    <w:rsid w:val="009A7A52"/>
    <w:rsid w:val="009E1ACA"/>
    <w:rsid w:val="00A12792"/>
    <w:rsid w:val="00A32EEC"/>
    <w:rsid w:val="00A33329"/>
    <w:rsid w:val="00A34CCE"/>
    <w:rsid w:val="00A34D8E"/>
    <w:rsid w:val="00A417BB"/>
    <w:rsid w:val="00A52611"/>
    <w:rsid w:val="00A56461"/>
    <w:rsid w:val="00A63D4D"/>
    <w:rsid w:val="00A770E6"/>
    <w:rsid w:val="00A87147"/>
    <w:rsid w:val="00A915BA"/>
    <w:rsid w:val="00AC3512"/>
    <w:rsid w:val="00AC7971"/>
    <w:rsid w:val="00AE6001"/>
    <w:rsid w:val="00AE759B"/>
    <w:rsid w:val="00B109A6"/>
    <w:rsid w:val="00B3220C"/>
    <w:rsid w:val="00B413F9"/>
    <w:rsid w:val="00B47572"/>
    <w:rsid w:val="00B56628"/>
    <w:rsid w:val="00B57B0C"/>
    <w:rsid w:val="00B821CD"/>
    <w:rsid w:val="00B925A9"/>
    <w:rsid w:val="00B97B46"/>
    <w:rsid w:val="00BB4D87"/>
    <w:rsid w:val="00BD0E38"/>
    <w:rsid w:val="00BD21F1"/>
    <w:rsid w:val="00C06E18"/>
    <w:rsid w:val="00C1278A"/>
    <w:rsid w:val="00C34433"/>
    <w:rsid w:val="00C53926"/>
    <w:rsid w:val="00C6445B"/>
    <w:rsid w:val="00C66DB7"/>
    <w:rsid w:val="00C80E0C"/>
    <w:rsid w:val="00C8234B"/>
    <w:rsid w:val="00CA54A7"/>
    <w:rsid w:val="00CB44A7"/>
    <w:rsid w:val="00CB6AB6"/>
    <w:rsid w:val="00CC1EBC"/>
    <w:rsid w:val="00CC4DA8"/>
    <w:rsid w:val="00CD5D2E"/>
    <w:rsid w:val="00CD6E7A"/>
    <w:rsid w:val="00CE48CF"/>
    <w:rsid w:val="00D02F9C"/>
    <w:rsid w:val="00D045F7"/>
    <w:rsid w:val="00D04BAD"/>
    <w:rsid w:val="00D4049D"/>
    <w:rsid w:val="00D405E1"/>
    <w:rsid w:val="00D41B3E"/>
    <w:rsid w:val="00D51727"/>
    <w:rsid w:val="00D561F7"/>
    <w:rsid w:val="00D77A1F"/>
    <w:rsid w:val="00D812D1"/>
    <w:rsid w:val="00D978A2"/>
    <w:rsid w:val="00D97A8A"/>
    <w:rsid w:val="00DA55FD"/>
    <w:rsid w:val="00DB3014"/>
    <w:rsid w:val="00DC005B"/>
    <w:rsid w:val="00DD6C80"/>
    <w:rsid w:val="00DE5398"/>
    <w:rsid w:val="00DF4E3F"/>
    <w:rsid w:val="00E05D32"/>
    <w:rsid w:val="00E25D23"/>
    <w:rsid w:val="00E27174"/>
    <w:rsid w:val="00E457BB"/>
    <w:rsid w:val="00E72A2E"/>
    <w:rsid w:val="00E73D3E"/>
    <w:rsid w:val="00E94C5E"/>
    <w:rsid w:val="00E95069"/>
    <w:rsid w:val="00EC6663"/>
    <w:rsid w:val="00ED3D51"/>
    <w:rsid w:val="00EE02F6"/>
    <w:rsid w:val="00F02FE4"/>
    <w:rsid w:val="00F04A54"/>
    <w:rsid w:val="00F46B37"/>
    <w:rsid w:val="00F60FF9"/>
    <w:rsid w:val="00F65A69"/>
    <w:rsid w:val="00F92531"/>
    <w:rsid w:val="00FA1A66"/>
    <w:rsid w:val="00FA7B41"/>
    <w:rsid w:val="00FD72BD"/>
    <w:rsid w:val="00FE50D4"/>
    <w:rsid w:val="00FF141E"/>
    <w:rsid w:val="00FF6308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148AB8"/>
  <w15:docId w15:val="{E0623695-F41A-4290-A0FF-8E68347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7C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29077C"/>
    <w:pPr>
      <w:keepNext/>
      <w:keepLines/>
      <w:spacing w:before="240"/>
      <w:outlineLvl w:val="0"/>
    </w:pPr>
    <w:rPr>
      <w:rFonts w:eastAsiaTheme="majorEastAsia" w:cstheme="majorBidi"/>
      <w:color w:val="76287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9077C"/>
    <w:pPr>
      <w:keepNext/>
      <w:keepLines/>
      <w:spacing w:before="40"/>
      <w:outlineLvl w:val="1"/>
    </w:pPr>
    <w:rPr>
      <w:rFonts w:eastAsiaTheme="majorEastAsia" w:cstheme="majorBidi"/>
      <w:color w:val="76287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561F7"/>
    <w:pPr>
      <w:keepNext/>
      <w:keepLines/>
      <w:spacing w:before="200"/>
      <w:outlineLvl w:val="2"/>
    </w:pPr>
    <w:rPr>
      <w:rFonts w:eastAsiaTheme="majorEastAsia" w:cstheme="majorBidi"/>
      <w:bCs/>
      <w:color w:val="7030A0"/>
      <w:sz w:val="22"/>
    </w:rPr>
  </w:style>
  <w:style w:type="paragraph" w:styleId="Heading4">
    <w:name w:val="heading 4"/>
    <w:basedOn w:val="Normal"/>
    <w:next w:val="Normal"/>
    <w:link w:val="Heading4Char"/>
    <w:qFormat/>
    <w:rsid w:val="00CC1EBC"/>
    <w:pPr>
      <w:keepNext/>
      <w:tabs>
        <w:tab w:val="num" w:pos="2880"/>
      </w:tabs>
      <w:spacing w:after="240"/>
      <w:ind w:left="2880" w:hanging="960"/>
      <w:jc w:val="both"/>
      <w:outlineLvl w:val="3"/>
    </w:pPr>
    <w:rPr>
      <w:rFonts w:ascii="Times New Roman" w:eastAsia="Times New Roman" w:hAnsi="Times New Roman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8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3"/>
  </w:style>
  <w:style w:type="paragraph" w:styleId="Footer">
    <w:name w:val="footer"/>
    <w:basedOn w:val="Normal"/>
    <w:link w:val="FooterChar"/>
    <w:uiPriority w:val="99"/>
    <w:unhideWhenUsed/>
    <w:rsid w:val="00CC4DA8"/>
    <w:pPr>
      <w:tabs>
        <w:tab w:val="center" w:pos="4819"/>
        <w:tab w:val="right" w:pos="9638"/>
      </w:tabs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4DA8"/>
    <w:rPr>
      <w:rFonts w:ascii="Century Gothic" w:hAnsi="Century Gothic"/>
      <w:color w:val="FFFFFF" w:themeColor="background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D5A83"/>
  </w:style>
  <w:style w:type="character" w:customStyle="1" w:styleId="Heading1Char">
    <w:name w:val="Heading 1 Char"/>
    <w:basedOn w:val="DefaultParagraphFont"/>
    <w:link w:val="Heading1"/>
    <w:uiPriority w:val="9"/>
    <w:rsid w:val="0029077C"/>
    <w:rPr>
      <w:rFonts w:ascii="Century Gothic" w:eastAsiaTheme="majorEastAsia" w:hAnsi="Century Gothic" w:cstheme="majorBidi"/>
      <w:color w:val="76287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77C"/>
    <w:rPr>
      <w:rFonts w:ascii="Century Gothic" w:eastAsiaTheme="majorEastAsia" w:hAnsi="Century Gothic" w:cstheme="majorBidi"/>
      <w:color w:val="76287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0E38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38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077C"/>
    <w:rPr>
      <w:rFonts w:ascii="Century Gothic" w:eastAsiaTheme="minorEastAsia" w:hAnsi="Century Gothic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9077C"/>
    <w:rPr>
      <w:rFonts w:ascii="Century Gothic" w:hAnsi="Century Goth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077C"/>
    <w:rPr>
      <w:rFonts w:ascii="Century Gothic" w:hAnsi="Century Gothic"/>
      <w:i/>
      <w:iCs/>
    </w:rPr>
  </w:style>
  <w:style w:type="character" w:styleId="IntenseEmphasis">
    <w:name w:val="Intense Emphasis"/>
    <w:basedOn w:val="DefaultParagraphFont"/>
    <w:uiPriority w:val="21"/>
    <w:qFormat/>
    <w:rsid w:val="0029077C"/>
    <w:rPr>
      <w:rFonts w:ascii="Century Gothic" w:hAnsi="Century Gothic"/>
      <w:i/>
      <w:iCs/>
      <w:color w:val="762870"/>
    </w:rPr>
  </w:style>
  <w:style w:type="character" w:styleId="Strong">
    <w:name w:val="Strong"/>
    <w:basedOn w:val="DefaultParagraphFont"/>
    <w:uiPriority w:val="22"/>
    <w:qFormat/>
    <w:rsid w:val="0029077C"/>
    <w:rPr>
      <w:rFonts w:ascii="Century Gothic" w:hAnsi="Century Gothic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907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77C"/>
    <w:rPr>
      <w:rFonts w:ascii="Century Gothic" w:hAnsi="Century Gothic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76287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7C"/>
    <w:rPr>
      <w:rFonts w:ascii="Century Gothic" w:hAnsi="Century Gothic"/>
      <w:i/>
      <w:iCs/>
      <w:color w:val="762870"/>
    </w:rPr>
  </w:style>
  <w:style w:type="character" w:styleId="SubtleReference">
    <w:name w:val="Subtle Reference"/>
    <w:basedOn w:val="DefaultParagraphFont"/>
    <w:uiPriority w:val="31"/>
    <w:qFormat/>
    <w:rsid w:val="0029077C"/>
    <w:rPr>
      <w:rFonts w:ascii="Century Gothic" w:hAnsi="Century Gothic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077C"/>
    <w:rPr>
      <w:rFonts w:ascii="Century Gothic" w:hAnsi="Century Gothic"/>
      <w:b/>
      <w:bCs/>
      <w:smallCaps/>
      <w:color w:val="762870"/>
      <w:spacing w:val="5"/>
    </w:rPr>
  </w:style>
  <w:style w:type="character" w:styleId="BookTitle">
    <w:name w:val="Book Title"/>
    <w:basedOn w:val="DefaultParagraphFont"/>
    <w:uiPriority w:val="33"/>
    <w:qFormat/>
    <w:rsid w:val="0029077C"/>
    <w:rPr>
      <w:rFonts w:ascii="Century Gothic" w:hAnsi="Century Gothic"/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qFormat/>
    <w:rsid w:val="0029077C"/>
    <w:pPr>
      <w:ind w:left="720"/>
      <w:contextualSpacing/>
    </w:pPr>
  </w:style>
  <w:style w:type="paragraph" w:customStyle="1" w:styleId="Style1">
    <w:name w:val="Style1"/>
    <w:basedOn w:val="Date"/>
    <w:qFormat/>
    <w:rsid w:val="00BD0E38"/>
    <w:pPr>
      <w:jc w:val="right"/>
    </w:pPr>
    <w:rPr>
      <w:b/>
      <w:sz w:val="28"/>
    </w:rPr>
  </w:style>
  <w:style w:type="table" w:styleId="TableGrid">
    <w:name w:val="Table Grid"/>
    <w:basedOn w:val="TableNormal"/>
    <w:uiPriority w:val="39"/>
    <w:rsid w:val="00BD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0E38"/>
  </w:style>
  <w:style w:type="character" w:customStyle="1" w:styleId="DateChar">
    <w:name w:val="Date Char"/>
    <w:basedOn w:val="DefaultParagraphFont"/>
    <w:link w:val="Date"/>
    <w:uiPriority w:val="99"/>
    <w:semiHidden/>
    <w:rsid w:val="00BD0E38"/>
    <w:rPr>
      <w:rFonts w:ascii="Century Gothic" w:hAnsi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B10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9A6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9A6"/>
    <w:rPr>
      <w:rFonts w:ascii="Century Gothic" w:hAnsi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9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A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33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561F7"/>
    <w:rPr>
      <w:rFonts w:ascii="Century Gothic" w:eastAsiaTheme="majorEastAsia" w:hAnsi="Century Gothic" w:cstheme="majorBidi"/>
      <w:bCs/>
      <w:color w:val="7030A0"/>
      <w:sz w:val="22"/>
    </w:rPr>
  </w:style>
  <w:style w:type="paragraph" w:styleId="FootnoteText">
    <w:name w:val="footnote text"/>
    <w:basedOn w:val="Normal"/>
    <w:link w:val="FootnoteTextChar"/>
    <w:unhideWhenUsed/>
    <w:rsid w:val="00FF141E"/>
    <w:rPr>
      <w:rFonts w:ascii="Calibri" w:eastAsia="MS Mincho" w:hAnsi="Calibri" w:cs="Times New Roman"/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rsid w:val="00FF141E"/>
    <w:rPr>
      <w:rFonts w:ascii="Calibri" w:eastAsia="MS Mincho" w:hAnsi="Calibri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nhideWhenUsed/>
    <w:rsid w:val="00FF141E"/>
    <w:rPr>
      <w:vertAlign w:val="superscript"/>
    </w:rPr>
  </w:style>
  <w:style w:type="character" w:customStyle="1" w:styleId="ListParagraphChar">
    <w:name w:val="List Paragraph Char"/>
    <w:link w:val="ListParagraph"/>
    <w:locked/>
    <w:rsid w:val="00FF141E"/>
    <w:rPr>
      <w:rFonts w:ascii="Century Gothic" w:hAnsi="Century Gothic"/>
    </w:rPr>
  </w:style>
  <w:style w:type="character" w:customStyle="1" w:styleId="Heading4Char">
    <w:name w:val="Heading 4 Char"/>
    <w:basedOn w:val="DefaultParagraphFont"/>
    <w:link w:val="Heading4"/>
    <w:rsid w:val="00CC1EBC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Dash">
    <w:name w:val="List Dash"/>
    <w:basedOn w:val="Normal"/>
    <w:rsid w:val="00CC1EBC"/>
    <w:pPr>
      <w:numPr>
        <w:numId w:val="14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2A0969-4929-4A88-972D-DAC69A6C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PAYMILL GmbH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 Stanciu</dc:creator>
  <cp:lastModifiedBy>ROUAMD</cp:lastModifiedBy>
  <cp:revision>3</cp:revision>
  <dcterms:created xsi:type="dcterms:W3CDTF">2020-04-10T08:36:00Z</dcterms:created>
  <dcterms:modified xsi:type="dcterms:W3CDTF">2020-08-18T09:08:00Z</dcterms:modified>
</cp:coreProperties>
</file>