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B1" w:rsidRDefault="00F732C9" w:rsidP="002056B1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5945227" r:id="rId7"/>
        </w:pict>
      </w:r>
    </w:p>
    <w:p w:rsidR="002056B1" w:rsidRDefault="002056B1" w:rsidP="002056B1">
      <w:pPr>
        <w:jc w:val="center"/>
        <w:rPr>
          <w:b/>
          <w:bCs/>
          <w:lang w:val="ro-RO"/>
        </w:rPr>
      </w:pPr>
    </w:p>
    <w:p w:rsidR="002056B1" w:rsidRDefault="002056B1" w:rsidP="002056B1">
      <w:pPr>
        <w:jc w:val="center"/>
        <w:rPr>
          <w:b/>
          <w:bCs/>
          <w:lang w:val="ro-RO"/>
        </w:rPr>
      </w:pPr>
    </w:p>
    <w:p w:rsidR="002056B1" w:rsidRDefault="002056B1" w:rsidP="002056B1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2056B1" w:rsidRDefault="002056B1" w:rsidP="002056B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2056B1" w:rsidRDefault="002056B1" w:rsidP="002056B1">
      <w:pPr>
        <w:ind w:firstLine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DECIZIE nr. 02/10                                                                                                                                                      din 10 martie 2020</w:t>
      </w:r>
    </w:p>
    <w:p w:rsidR="002056B1" w:rsidRDefault="00F732C9" w:rsidP="002056B1">
      <w:pPr>
        <w:ind w:firstLine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 privire la repartiza</w:t>
      </w:r>
      <w:bookmarkStart w:id="0" w:name="_GoBack"/>
      <w:bookmarkEnd w:id="0"/>
      <w:r w:rsidR="002056B1">
        <w:rPr>
          <w:rFonts w:ascii="Times New Roman" w:hAnsi="Times New Roman"/>
          <w:b/>
          <w:sz w:val="24"/>
          <w:szCs w:val="24"/>
          <w:lang w:val="ro-RO"/>
        </w:rPr>
        <w:t>rea pășunilor și modul                                                                                                               de calculare a impozitului funciar pentru                                                                                            terenurile destinate pășunilor și fînețelor</w:t>
      </w:r>
    </w:p>
    <w:p w:rsidR="002056B1" w:rsidRDefault="002056B1" w:rsidP="002056B1">
      <w:pPr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="000F3122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>În conformitate cu prevederile Regulamentului cu privire la modul de calculare și achitare a impozitului funciar pentru terenurile destinate fînețelor și pășunilor, aprobat prin Ordinul serviciului Fiscal de Stat nr. 657/2018, Regulamentului cu privire la pășunat și cosit, aprobat prin Hotărîrea Guvernului nr. 667/2010, Titlului VI din Codul Fiscal al Republicii Moldova, art. 14 alin. (2) lit.a) din Legea Republicii Moldova nr. 436/2006 privind administrația publică locală și reeșind din suprafața ocupată de pășuni și numărul de vite pe specii de animale domestice, Consiliul comunal Văscăuți</w:t>
      </w:r>
    </w:p>
    <w:p w:rsidR="002056B1" w:rsidRPr="000F3122" w:rsidRDefault="002056B1" w:rsidP="002056B1">
      <w:pPr>
        <w:ind w:firstLine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</w:t>
      </w:r>
      <w:r w:rsidRPr="000F3122">
        <w:rPr>
          <w:rFonts w:ascii="Times New Roman" w:hAnsi="Times New Roman"/>
          <w:b/>
          <w:sz w:val="24"/>
          <w:szCs w:val="24"/>
          <w:lang w:val="ro-RO"/>
        </w:rPr>
        <w:t>DECIDE:</w:t>
      </w:r>
    </w:p>
    <w:p w:rsidR="002056B1" w:rsidRDefault="002056B1" w:rsidP="002056B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repartizează terenurile ocupate de pășuni pe o suprafață de 217,00 ha, după cum urmează:</w:t>
      </w:r>
    </w:p>
    <w:p w:rsidR="002056B1" w:rsidRDefault="002056B1" w:rsidP="002056B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bovine și cabaline:</w:t>
      </w:r>
    </w:p>
    <w:p w:rsidR="002056B1" w:rsidRDefault="002056B1" w:rsidP="002056B1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terenurile ocupate de pășuni de la hotar cu satul Temeleuți și pînă la drumul care merge </w:t>
      </w:r>
      <w:r w:rsidR="00E26D28">
        <w:rPr>
          <w:rFonts w:ascii="Times New Roman" w:hAnsi="Times New Roman"/>
          <w:sz w:val="24"/>
          <w:szCs w:val="24"/>
          <w:lang w:val="ro-RO"/>
        </w:rPr>
        <w:t>de la construcția în calitate de stînă, pînă sus la terenul agricol cu suprafața de 98,66 ha;</w:t>
      </w:r>
    </w:p>
    <w:p w:rsidR="002056B1" w:rsidRDefault="00E26D28" w:rsidP="002056B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bovine și cabaline:</w:t>
      </w:r>
    </w:p>
    <w:p w:rsidR="00E26D28" w:rsidRDefault="00E26D28" w:rsidP="00E26D28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terenurile ocupate de pășuni de la cet. Voinarenco Elena și pînă la grădinile din vecinătate cu cet. Cugut Maria cu suprafața de 28,16 ha;</w:t>
      </w:r>
    </w:p>
    <w:p w:rsidR="00E26D28" w:rsidRDefault="00E26D28" w:rsidP="002056B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ovine:</w:t>
      </w:r>
    </w:p>
    <w:p w:rsidR="00E26D28" w:rsidRDefault="00E26D28" w:rsidP="00E26D28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terenurile ocupate de pășuni de la drumul care merge de la construcția ,,st</w:t>
      </w:r>
      <w:r w:rsidR="000F3122">
        <w:rPr>
          <w:rFonts w:ascii="Times New Roman" w:hAnsi="Times New Roman"/>
          <w:sz w:val="24"/>
          <w:szCs w:val="24"/>
          <w:lang w:val="ro-RO"/>
        </w:rPr>
        <w:t>îna din Fundătură”, Fundătura, v</w:t>
      </w:r>
      <w:r>
        <w:rPr>
          <w:rFonts w:ascii="Times New Roman" w:hAnsi="Times New Roman"/>
          <w:sz w:val="24"/>
          <w:szCs w:val="24"/>
          <w:lang w:val="ro-RO"/>
        </w:rPr>
        <w:t>alea din apropierea cimitirului din sstul Octeabriscoe și pășunile din hotar cu satul Cuhureștii de Sus pe o suprafață de 45,85 ha;</w:t>
      </w:r>
    </w:p>
    <w:p w:rsidR="00E26D28" w:rsidRDefault="00E26D28" w:rsidP="002056B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bovinele SRL ,,Lunca Văscăuțului” terenurile</w:t>
      </w:r>
      <w:r w:rsidR="000F3122">
        <w:rPr>
          <w:rFonts w:ascii="Times New Roman" w:hAnsi="Times New Roman"/>
          <w:sz w:val="24"/>
          <w:szCs w:val="24"/>
          <w:lang w:val="ro-RO"/>
        </w:rPr>
        <w:t xml:space="preserve"> ocupate de pășuni începînd cu v</w:t>
      </w:r>
      <w:r>
        <w:rPr>
          <w:rFonts w:ascii="Times New Roman" w:hAnsi="Times New Roman"/>
          <w:sz w:val="24"/>
          <w:szCs w:val="24"/>
          <w:lang w:val="ro-RO"/>
        </w:rPr>
        <w:t>alea de lîngă cet. Goncearuc Alexandru și toate terenurile din jurul iazului din satul Octeabriscoe (de lîngă aguți) cu suprafața de 22,88 ha;</w:t>
      </w:r>
    </w:p>
    <w:p w:rsidR="00E26D28" w:rsidRDefault="00E26D28" w:rsidP="002056B1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terenurile ocupate de pățuni din Valea satului Cernița cu suprafața de 21,45 ha să fie folosite pentru cosit.</w:t>
      </w:r>
    </w:p>
    <w:p w:rsidR="002056B1" w:rsidRPr="002056B1" w:rsidRDefault="002056B1" w:rsidP="002056B1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2056B1" w:rsidRDefault="00E26D28" w:rsidP="002056B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S-a calculat impozitul funciar pentru terenurile ocupate de pășuni în felul următor:</w:t>
      </w:r>
    </w:p>
    <w:p w:rsidR="00E26D28" w:rsidRDefault="00E26D28" w:rsidP="00E26D28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 xml:space="preserve">217,00 ha x 59 (bon.) x 0,75 gr/ha </w:t>
      </w:r>
      <w:r w:rsidR="00165CB2">
        <w:rPr>
          <w:rFonts w:ascii="Times New Roman" w:hAnsi="Times New Roman"/>
          <w:sz w:val="24"/>
          <w:szCs w:val="24"/>
          <w:lang w:val="ro-RO"/>
        </w:rPr>
        <w:t>= 9602,00 lei</w:t>
      </w:r>
    </w:p>
    <w:p w:rsidR="00165CB2" w:rsidRDefault="00165CB2" w:rsidP="00165CB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un cap de ovine  - 8,50 lei</w:t>
      </w:r>
    </w:p>
    <w:p w:rsidR="00165CB2" w:rsidRDefault="00165CB2" w:rsidP="00165CB2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359 ovine x 8,50 lei = 3051,50 lei;</w:t>
      </w:r>
    </w:p>
    <w:p w:rsidR="00165CB2" w:rsidRDefault="00165CB2" w:rsidP="00165CB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un cap de bovine  - 54,00 lei</w:t>
      </w:r>
    </w:p>
    <w:p w:rsidR="00165CB2" w:rsidRDefault="00165CB2" w:rsidP="00165CB2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67 bovine x 54,00 lei =  3618,00 lei;</w:t>
      </w:r>
    </w:p>
    <w:p w:rsidR="00165CB2" w:rsidRDefault="00165CB2" w:rsidP="00165CB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un cap de juncă  - 32,00 lei</w:t>
      </w:r>
    </w:p>
    <w:p w:rsidR="00165CB2" w:rsidRDefault="00165CB2" w:rsidP="00165CB2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11 junci x 32,00 lei = 352,00 lei;</w:t>
      </w:r>
    </w:p>
    <w:p w:rsidR="00165CB2" w:rsidRDefault="00165CB2" w:rsidP="00165CB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o cabalină 59,00 lei</w:t>
      </w:r>
    </w:p>
    <w:p w:rsidR="00165CB2" w:rsidRDefault="00165CB2" w:rsidP="00165CB2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27 cabaline x 59,00 lei = 1593,00 lei.</w:t>
      </w:r>
    </w:p>
    <w:p w:rsidR="00165CB2" w:rsidRDefault="00165CB2" w:rsidP="00165CB2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165CB2" w:rsidRDefault="00165CB2" w:rsidP="00165C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stabilește impozitul funciar pentru terenurile ocupate de pășuni de SRL ,,Lunca Văscăuțului” cu suprafața de 22,88 ha.</w:t>
      </w:r>
    </w:p>
    <w:p w:rsidR="00165CB2" w:rsidRDefault="00165CB2" w:rsidP="00165CB2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22,88 ha x 59 bon. x 0,75 gr/ha = 1013,00 lei.</w:t>
      </w:r>
    </w:p>
    <w:p w:rsidR="00165CB2" w:rsidRDefault="00165CB2" w:rsidP="00165CB2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165CB2" w:rsidRDefault="00165CB2" w:rsidP="00165C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Responsabilitatea pentru calcularea corectă și în termen a impozitului funciar pentru terenurile ocupate de pășuni se pune în sarcina dnei leșan Svetlana, specialist superior.</w:t>
      </w:r>
    </w:p>
    <w:p w:rsidR="00165CB2" w:rsidRDefault="00165CB2" w:rsidP="00165CB2">
      <w:pPr>
        <w:pStyle w:val="a3"/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165CB2" w:rsidRPr="00165CB2" w:rsidRDefault="00165CB2" w:rsidP="00165CB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Controlul asupra folosirii raționale a pășunilor se pune în seama primarului comunei.</w:t>
      </w:r>
    </w:p>
    <w:p w:rsidR="00165CB2" w:rsidRDefault="00165CB2" w:rsidP="00165CB2">
      <w:pPr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165CB2" w:rsidRDefault="00165CB2" w:rsidP="00165CB2">
      <w:pPr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165CB2" w:rsidRDefault="00165CB2" w:rsidP="00165CB2">
      <w:pPr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165CB2" w:rsidRDefault="000F3122" w:rsidP="00165CB2">
      <w:pPr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Președintele ședinței                                                                                   Voinarenco Liudmila</w:t>
      </w:r>
    </w:p>
    <w:p w:rsidR="000F3122" w:rsidRDefault="000F3122" w:rsidP="00165CB2">
      <w:pPr>
        <w:ind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Contrasemnat:                                                                                                                                            Secretar al Consiliului comunal                                                                  Barbă Zinaida</w:t>
      </w:r>
    </w:p>
    <w:p w:rsidR="000F3122" w:rsidRDefault="000F3122" w:rsidP="00165CB2">
      <w:pPr>
        <w:ind w:firstLine="0"/>
      </w:pPr>
    </w:p>
    <w:sectPr w:rsidR="000F3122" w:rsidSect="00165C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841"/>
    <w:multiLevelType w:val="hybridMultilevel"/>
    <w:tmpl w:val="A7F4E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6139"/>
    <w:multiLevelType w:val="hybridMultilevel"/>
    <w:tmpl w:val="C2AA7F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F715C"/>
    <w:multiLevelType w:val="hybridMultilevel"/>
    <w:tmpl w:val="EA08E8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B1"/>
    <w:rsid w:val="000F3122"/>
    <w:rsid w:val="00165CB2"/>
    <w:rsid w:val="002056B1"/>
    <w:rsid w:val="00C15889"/>
    <w:rsid w:val="00E26D28"/>
    <w:rsid w:val="00EB5A5C"/>
    <w:rsid w:val="00F732C9"/>
    <w:rsid w:val="00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B1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B1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2020-03-11T13:24:00Z</cp:lastPrinted>
  <dcterms:created xsi:type="dcterms:W3CDTF">2020-03-11T12:44:00Z</dcterms:created>
  <dcterms:modified xsi:type="dcterms:W3CDTF">2020-03-17T08:14:00Z</dcterms:modified>
</cp:coreProperties>
</file>