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7A" w:rsidRDefault="000A5C3E" w:rsidP="00B5787A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51909745" r:id="rId8"/>
        </w:pict>
      </w:r>
    </w:p>
    <w:p w:rsidR="00B5787A" w:rsidRDefault="00B5787A" w:rsidP="00B5787A">
      <w:pPr>
        <w:jc w:val="center"/>
        <w:rPr>
          <w:b/>
          <w:bCs/>
          <w:lang w:val="ro-RO"/>
        </w:rPr>
      </w:pPr>
    </w:p>
    <w:p w:rsidR="00B5787A" w:rsidRPr="00965139" w:rsidRDefault="00B5787A" w:rsidP="00B5787A">
      <w:pPr>
        <w:jc w:val="center"/>
        <w:rPr>
          <w:b/>
          <w:bCs/>
          <w:lang w:val="ro-RO"/>
        </w:rPr>
      </w:pPr>
    </w:p>
    <w:p w:rsidR="00B5787A" w:rsidRPr="00251CEB" w:rsidRDefault="00B5787A" w:rsidP="00251CEB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B5787A" w:rsidRPr="003E482C" w:rsidRDefault="00251CEB" w:rsidP="00B5787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DECIZIE nr. 03</w:t>
      </w:r>
      <w:r w:rsidR="00B5787A" w:rsidRPr="003E482C">
        <w:rPr>
          <w:rFonts w:ascii="Times New Roman" w:hAnsi="Times New Roman" w:cs="Times New Roman"/>
          <w:b/>
          <w:sz w:val="24"/>
          <w:szCs w:val="24"/>
        </w:rPr>
        <w:t xml:space="preserve">/01                                                                                                      </w:t>
      </w:r>
      <w:r w:rsidR="00586705">
        <w:rPr>
          <w:rFonts w:ascii="Times New Roman" w:hAnsi="Times New Roman" w:cs="Times New Roman"/>
          <w:b/>
          <w:sz w:val="24"/>
          <w:szCs w:val="24"/>
        </w:rPr>
        <w:t xml:space="preserve">                 din 21 mai</w:t>
      </w:r>
      <w:r w:rsidR="00B5787A" w:rsidRPr="003E482C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B5787A" w:rsidRPr="003E482C" w:rsidRDefault="00B5787A" w:rsidP="000A5C3E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>Cu privire la corelarea bugetului comunei Văscăuți</w:t>
      </w:r>
    </w:p>
    <w:p w:rsidR="00B5787A" w:rsidRPr="003E482C" w:rsidRDefault="00B5787A" w:rsidP="000A5C3E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pentru anul 2020 cu Legea bugetului de stat pe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anul 2020.</w:t>
      </w:r>
    </w:p>
    <w:p w:rsidR="00B5787A" w:rsidRPr="003E482C" w:rsidRDefault="00B5787A" w:rsidP="00B5787A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5787A" w:rsidRPr="003E482C" w:rsidRDefault="00757BD4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A5C3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>În con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formitate cu prevederile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61/2020 </w:t>
      </w:r>
      <w:r w:rsidR="0058670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anexa nr. 7) </w:t>
      </w:r>
      <w:r>
        <w:rPr>
          <w:rFonts w:ascii="Times New Roman" w:hAnsi="Times New Roman" w:cs="Times New Roman"/>
          <w:sz w:val="24"/>
          <w:szCs w:val="24"/>
          <w:lang w:val="ro-RO"/>
        </w:rPr>
        <w:t>pentru modificarea Legii bugetului de stat pentru anul 2020 nr. 1</w:t>
      </w:r>
      <w:r w:rsidR="00586705">
        <w:rPr>
          <w:rFonts w:ascii="Times New Roman" w:hAnsi="Times New Roman" w:cs="Times New Roman"/>
          <w:sz w:val="24"/>
          <w:szCs w:val="24"/>
          <w:lang w:val="ro-RO"/>
        </w:rPr>
        <w:t>72/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2019,</w:t>
      </w:r>
      <w:r w:rsidR="003A46E9" w:rsidRPr="003A46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art. 55 (5) al Legii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nr. 181/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2014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finanțelor publice și responsabilității bugetar - fiscale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, art. 24 al Legii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nr. 397/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2003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privind finanțele publice locale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, art. 62 al Legii 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Republicii Moldova nr.100/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2017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privind actele normative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, art. 14 alin.(2) lit. n) al Legii 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>Republicii Moldova nr. 436/</w:t>
      </w:r>
      <w:r w:rsidR="003A46E9" w:rsidRPr="003E482C">
        <w:rPr>
          <w:rFonts w:ascii="Times New Roman" w:hAnsi="Times New Roman" w:cs="Times New Roman"/>
          <w:sz w:val="24"/>
          <w:szCs w:val="24"/>
          <w:lang w:val="ro-RO"/>
        </w:rPr>
        <w:t>2006</w:t>
      </w:r>
      <w:r w:rsidR="003A46E9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administrația publică locală, </w:t>
      </w:r>
      <w:r w:rsidR="00B5787A">
        <w:rPr>
          <w:rFonts w:ascii="Times New Roman" w:hAnsi="Times New Roman" w:cs="Times New Roman"/>
          <w:sz w:val="24"/>
          <w:szCs w:val="24"/>
          <w:lang w:val="ro-RO"/>
        </w:rPr>
        <w:t>Consiliul comunal Văscăuți</w:t>
      </w:r>
    </w:p>
    <w:p w:rsidR="00B5787A" w:rsidRPr="00B5787A" w:rsidRDefault="00B5787A" w:rsidP="00B5787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B578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DECIDE:                                               </w:t>
      </w:r>
    </w:p>
    <w:p w:rsidR="00B5787A" w:rsidRPr="00B5787A" w:rsidRDefault="00B5787A" w:rsidP="00B5787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Se aprobă corelarea bugetului comunei Văscăuți pentru anul 2020, aprobat prin decizia Consiliului comunal </w:t>
      </w:r>
      <w:r w:rsidR="00251CEB">
        <w:rPr>
          <w:rFonts w:ascii="Times New Roman" w:hAnsi="Times New Roman" w:cs="Times New Roman"/>
          <w:sz w:val="24"/>
          <w:szCs w:val="24"/>
          <w:lang w:val="ro-RO"/>
        </w:rPr>
        <w:t>nr. 07/15 din 10 decembrie 2019 și corelat prin Decizia nr. 01/01 din 16.01.2020</w:t>
      </w: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 cu Legea bugetului de stat pentru anul 2020, după cum urmează:</w:t>
      </w:r>
    </w:p>
    <w:p w:rsidR="00B5787A" w:rsidRPr="00B5787A" w:rsidRDefault="00B5787A" w:rsidP="00B5787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B5787A" w:rsidRPr="00B5787A" w:rsidRDefault="00B5787A" w:rsidP="00B5787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la punctul 1 sintagma ,,venituri în sumă de </w:t>
      </w:r>
      <w:r w:rsidR="00251CEB">
        <w:rPr>
          <w:rFonts w:ascii="Times New Roman" w:hAnsi="Times New Roman" w:cs="Times New Roman"/>
          <w:b/>
          <w:sz w:val="24"/>
          <w:szCs w:val="24"/>
          <w:lang w:val="ro-RO"/>
        </w:rPr>
        <w:t>2416,4</w:t>
      </w: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 mii lei” se substituie cu </w:t>
      </w:r>
    </w:p>
    <w:p w:rsidR="00B5787A" w:rsidRPr="00B5787A" w:rsidRDefault="00B5787A" w:rsidP="00B5787A">
      <w:pPr>
        <w:pStyle w:val="a4"/>
        <w:ind w:left="780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sintagma ,,venituri în sumă de </w:t>
      </w:r>
      <w:r w:rsidR="00251CEB">
        <w:rPr>
          <w:rFonts w:ascii="Times New Roman" w:hAnsi="Times New Roman" w:cs="Times New Roman"/>
          <w:b/>
          <w:sz w:val="24"/>
          <w:szCs w:val="24"/>
          <w:lang w:val="ro-RO"/>
        </w:rPr>
        <w:t>2427,6</w:t>
      </w:r>
      <w:r w:rsidRPr="00B578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mii lei” și sintagma ,,cheltuieli în sumă de                    </w:t>
      </w:r>
      <w:r w:rsidR="00251CEB">
        <w:rPr>
          <w:rFonts w:ascii="Times New Roman" w:hAnsi="Times New Roman" w:cs="Times New Roman"/>
          <w:b/>
          <w:sz w:val="24"/>
          <w:szCs w:val="24"/>
          <w:lang w:val="ro-RO"/>
        </w:rPr>
        <w:t xml:space="preserve">2416,4 </w:t>
      </w: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mii lei” se substituie cu sintagma ,,cheltuieli în sumă de  </w:t>
      </w:r>
      <w:r w:rsidR="00251CEB">
        <w:rPr>
          <w:rFonts w:ascii="Times New Roman" w:hAnsi="Times New Roman" w:cs="Times New Roman"/>
          <w:b/>
          <w:sz w:val="24"/>
          <w:szCs w:val="24"/>
          <w:lang w:val="ro-RO"/>
        </w:rPr>
        <w:t>2427,6</w:t>
      </w:r>
      <w:r w:rsidRPr="00B578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5787A">
        <w:rPr>
          <w:rFonts w:ascii="Times New Roman" w:hAnsi="Times New Roman" w:cs="Times New Roman"/>
          <w:sz w:val="24"/>
          <w:szCs w:val="24"/>
          <w:lang w:val="ro-RO"/>
        </w:rPr>
        <w:t>mii lei”.</w:t>
      </w:r>
    </w:p>
    <w:p w:rsidR="00B5787A" w:rsidRPr="00B5787A" w:rsidRDefault="00B5787A" w:rsidP="00B5787A">
      <w:pPr>
        <w:pStyle w:val="a4"/>
        <w:ind w:left="780"/>
        <w:rPr>
          <w:rFonts w:ascii="Times New Roman" w:hAnsi="Times New Roman" w:cs="Times New Roman"/>
          <w:sz w:val="24"/>
          <w:szCs w:val="24"/>
          <w:lang w:val="ro-RO"/>
        </w:rPr>
      </w:pPr>
    </w:p>
    <w:p w:rsidR="00B5787A" w:rsidRPr="00B5787A" w:rsidRDefault="00B5787A" w:rsidP="00B5787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>Anexa nr. 1 se substituie cu anexa nr.1 la prezenta decizie.</w:t>
      </w:r>
    </w:p>
    <w:p w:rsidR="00B5787A" w:rsidRPr="00B5787A" w:rsidRDefault="00B5787A" w:rsidP="00B5787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>Anexa nr. 2 se substituie cu anexa nr.2 la prezenta decizie.</w:t>
      </w:r>
    </w:p>
    <w:p w:rsidR="00B5787A" w:rsidRPr="00B5787A" w:rsidRDefault="00B5787A" w:rsidP="00B5787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787A">
        <w:rPr>
          <w:rFonts w:ascii="Times New Roman" w:hAnsi="Times New Roman" w:cs="Times New Roman"/>
          <w:sz w:val="24"/>
          <w:szCs w:val="24"/>
          <w:lang w:val="ro-RO"/>
        </w:rPr>
        <w:t xml:space="preserve">Anexa nr. 3 se substituie cu anexa nr.3 la prezenta decizie. </w:t>
      </w:r>
    </w:p>
    <w:p w:rsidR="00B5787A" w:rsidRDefault="00B5787A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251CEB" w:rsidRDefault="00251CEB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0A5C3E" w:rsidRPr="003E482C" w:rsidRDefault="000A5C3E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B5787A" w:rsidRPr="003E482C" w:rsidRDefault="00B5787A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</w:t>
      </w:r>
      <w:r w:rsidR="001303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Lupașco Iurii</w:t>
      </w: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</w:t>
      </w:r>
      <w:r w:rsidR="00251CE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B5787A" w:rsidRDefault="00B5787A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Secretar al Consiliului comunal                                                                  </w:t>
      </w:r>
      <w:r w:rsidR="00251CE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Barbă Zinaida</w:t>
      </w:r>
    </w:p>
    <w:p w:rsidR="00B5787A" w:rsidRDefault="00B5787A" w:rsidP="00B5787A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B5787A" w:rsidRDefault="00B5787A" w:rsidP="001C1FFE">
      <w:pPr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bCs/>
          <w:color w:val="33339A"/>
          <w:sz w:val="24"/>
          <w:szCs w:val="24"/>
          <w:lang w:val="en-US"/>
        </w:rPr>
      </w:pPr>
    </w:p>
    <w:p w:rsidR="0019060D" w:rsidRDefault="00B5787A" w:rsidP="001C1FFE">
      <w:pPr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</w:pPr>
      <w:r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     </w:t>
      </w:r>
    </w:p>
    <w:p w:rsidR="001C1FFE" w:rsidRPr="00B558B7" w:rsidRDefault="0019060D" w:rsidP="001C1FFE">
      <w:pPr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 xml:space="preserve">          </w:t>
      </w:r>
      <w:r w:rsidR="00B5787A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Anexa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1                                                              </w:t>
      </w:r>
      <w:r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decizia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Consiliului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Văscăuți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="00013C9A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      nr.</w:t>
      </w:r>
      <w:proofErr w:type="gramEnd"/>
      <w:r w:rsidR="00013C9A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251CEB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03/01 </w:t>
      </w:r>
      <w:proofErr w:type="gramStart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din  21</w:t>
      </w:r>
      <w:proofErr w:type="gramEnd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mai</w:t>
      </w:r>
      <w:proofErr w:type="spellEnd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013C9A" w:rsidRPr="00B558B7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2020</w:t>
      </w:r>
    </w:p>
    <w:p w:rsidR="001C1FFE" w:rsidRPr="00936561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lang w:val="en-US"/>
        </w:rPr>
      </w:pPr>
    </w:p>
    <w:p w:rsidR="001C1FFE" w:rsidRPr="00591FDA" w:rsidRDefault="001C1FFE" w:rsidP="001C1FFE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Sinteza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indicatorilor</w:t>
      </w:r>
      <w:proofErr w:type="spellEnd"/>
      <w:proofErr w:type="gram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generali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sursele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finanţare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bugetului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comunei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Văscăuţi</w:t>
      </w:r>
      <w:proofErr w:type="spellEnd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pe</w:t>
      </w:r>
      <w:proofErr w:type="spellEnd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Pr="00591FDA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2020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992"/>
        <w:gridCol w:w="1134"/>
        <w:gridCol w:w="1276"/>
        <w:gridCol w:w="1276"/>
        <w:gridCol w:w="1181"/>
      </w:tblGrid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lang w:val="en-US"/>
              </w:rPr>
              <w:t>Cod</w:t>
            </w:r>
          </w:p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lang w:val="en-US"/>
              </w:rPr>
              <w:t>Eco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  <w:t>Aprobat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  <w:t>,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  <w:lang w:val="en-US"/>
              </w:rPr>
              <w:t>mii lei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Decizia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nr</w:t>
            </w:r>
            <w:proofErr w:type="gram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 01/01</w:t>
            </w:r>
          </w:p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din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16.01.2020</w:t>
            </w: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Modificat</w:t>
            </w:r>
            <w:proofErr w:type="spellEnd"/>
          </w:p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Majorat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+</w:t>
            </w:r>
          </w:p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Micșorat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</w:t>
            </w:r>
          </w:p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DA38AF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Buget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</w:p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I. VENITURI,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2E41D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1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,2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27,6</w:t>
            </w:r>
          </w:p>
        </w:tc>
      </w:tr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2E41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 xml:space="preserve"> de stat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1939,0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2051,0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,2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20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62,2</w:t>
            </w:r>
          </w:p>
        </w:tc>
      </w:tr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II. CHELTUIELI,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2+3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1,2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="00CA1989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27,6</w:t>
            </w:r>
          </w:p>
        </w:tc>
      </w:tr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III. SOLD BUGETAR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1- (2+3)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DA38AF" w:rsidTr="00923280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/>
                <w:lang w:val="en-US"/>
              </w:rPr>
              <w:t>4+5+9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33339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1C1FFE" w:rsidTr="00923280">
        <w:tc>
          <w:tcPr>
            <w:tcW w:w="9404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C1FFE" w:rsidRDefault="001C1F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9A"/>
                <w:sz w:val="24"/>
                <w:szCs w:val="24"/>
                <w:lang w:val="en-US"/>
              </w:rPr>
            </w:pPr>
          </w:p>
        </w:tc>
      </w:tr>
    </w:tbl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highlight w:val="yellow"/>
          <w:lang w:val="en-US"/>
        </w:rPr>
      </w:pPr>
    </w:p>
    <w:p w:rsidR="001C1FFE" w:rsidRPr="00936561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lang w:val="en-US"/>
        </w:rPr>
      </w:pPr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Secretar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proofErr w:type="gramStart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Consiliului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proofErr w:type="gramEnd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</w:t>
      </w:r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       </w:t>
      </w:r>
      <w:r w:rsidR="00251CE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</w:t>
      </w:r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Barbă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Zinaida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              </w:t>
      </w:r>
      <w:r w:rsidRPr="00936561"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lang w:val="en-US"/>
        </w:rPr>
        <w:t xml:space="preserve"> </w:t>
      </w:r>
    </w:p>
    <w:p w:rsidR="001C1FFE" w:rsidRPr="00936561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1C1FFE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586705" w:rsidRDefault="00586705" w:rsidP="001C1FFE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C1FFE" w:rsidRPr="00936561" w:rsidRDefault="001C1FFE" w:rsidP="001C1FFE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936561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1C1FFE" w:rsidRPr="00936561" w:rsidRDefault="001C1FFE" w:rsidP="001C1FFE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656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</w:p>
    <w:p w:rsidR="001C1FFE" w:rsidRDefault="001C1FFE" w:rsidP="00251CEB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013C9A" w:rsidRPr="009365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gramStart"/>
      <w:r w:rsidR="00013C9A" w:rsidRPr="0093656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End"/>
      <w:r w:rsidR="00013C9A" w:rsidRPr="009365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6354">
        <w:rPr>
          <w:rFonts w:ascii="Times New Roman" w:hAnsi="Times New Roman" w:cs="Times New Roman"/>
          <w:sz w:val="24"/>
          <w:szCs w:val="24"/>
          <w:lang w:val="en-US"/>
        </w:rPr>
        <w:t xml:space="preserve"> 03/01din 21 </w:t>
      </w:r>
      <w:proofErr w:type="spellStart"/>
      <w:r w:rsidR="006F635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F6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C9A" w:rsidRPr="00936561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586705" w:rsidRPr="00251CEB" w:rsidRDefault="00586705" w:rsidP="00251CEB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C1FFE" w:rsidRDefault="001C1FFE" w:rsidP="001E304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Componenţa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veniturilor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bugetului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Văscăuţi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pe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2020</w:t>
      </w:r>
    </w:p>
    <w:p w:rsidR="00586705" w:rsidRDefault="00586705" w:rsidP="001E304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4847"/>
        <w:gridCol w:w="988"/>
        <w:gridCol w:w="993"/>
        <w:gridCol w:w="1131"/>
        <w:gridCol w:w="1256"/>
        <w:gridCol w:w="1134"/>
      </w:tblGrid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Denumirea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Cod</w:t>
            </w:r>
          </w:p>
          <w:p w:rsid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Eco 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(k4)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Aprobat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mii lei</w:t>
            </w:r>
          </w:p>
          <w:p w:rsidR="00DA38AF" w:rsidRPr="00DA38AF" w:rsidRDefault="00DA38A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 w:rsidP="00013C9A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DA38AF" w:rsidRPr="00DA38AF" w:rsidRDefault="00DA38AF" w:rsidP="00013C9A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Decizia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DA38AF" w:rsidRPr="00DA38AF" w:rsidRDefault="00DA38AF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nr</w:t>
            </w:r>
            <w:proofErr w:type="gram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 01/01</w:t>
            </w:r>
          </w:p>
          <w:p w:rsidR="00DA38AF" w:rsidRPr="00DA38AF" w:rsidRDefault="00DA38AF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din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16.01.2020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Modificat</w:t>
            </w:r>
            <w:proofErr w:type="spellEnd"/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Majorat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+</w:t>
            </w:r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Micșorat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–</w:t>
            </w:r>
          </w:p>
          <w:p w:rsidR="00DA38AF" w:rsidRPr="00DA38AF" w:rsidRDefault="00DA38AF" w:rsidP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DA38AF" w:rsidRDefault="00DA38AF" w:rsidP="00DA38AF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Default="00DA38AF" w:rsidP="00DA38AF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A38AF" w:rsidRPr="00DA38AF" w:rsidRDefault="00DA38AF" w:rsidP="00DA38AF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Buget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</w:p>
          <w:p w:rsidR="00DA38AF" w:rsidRPr="00DA38AF" w:rsidRDefault="00DA38AF" w:rsidP="00DA38AF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A38AF" w:rsidRPr="00DA38AF" w:rsidTr="00251CEB">
        <w:trPr>
          <w:trHeight w:val="374"/>
        </w:trPr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reţinut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salariu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111110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121,7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121.7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121.7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aferente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declaraţiilor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depuse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111121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6,8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6.8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6.8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înregistrate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calitate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113161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110,8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110.8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4578D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110.8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funciar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–</w:t>
            </w: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cetățeni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113171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37,5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37.5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37.5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0.7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3,2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3.2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3.2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înregistrate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calitate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valoarea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estimată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piaţă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) 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fizice-cetăţeni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valoarea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estimată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piaţă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) 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Taxa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amenajarea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teritoriului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114412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2,1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2.1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2.1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Taxa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patenta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114522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0.6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Taxe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unităţile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comerciale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prestări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servicii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114418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26,7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26.7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26.7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Arenda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terenurilor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agricolă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141522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14,6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14.6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14.6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Plata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locaţiunea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patrimoniului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public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142252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 w:rsidP="00923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Amenzi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sancţiuni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contravenţionale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143130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    </w:t>
            </w:r>
            <w:r w:rsidR="00DA38AF"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145152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0.2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Incasări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la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prestarea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plată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142310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39.7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39.7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pgNum/>
            </w:r>
            <w:proofErr w:type="spellStart"/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pecial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1077,6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1077.6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1077.6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pgNum/>
            </w:r>
            <w:proofErr w:type="spellStart"/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pecial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învăţămîntul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preşcolar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primar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secundar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general, special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complementar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extraşcolar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697.8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697.8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 w:rsidP="00056B57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056B57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pecial</w:t>
            </w:r>
            <w:r w:rsidR="00056B57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la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infrastructura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drumurilor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publice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C741E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116.8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C741EC" w:rsidP="00C741E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116.8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 xml:space="preserve">Transfer 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fondul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compensare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46,8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B2086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46.8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B2086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46.8</w:t>
            </w:r>
          </w:p>
        </w:tc>
      </w:tr>
      <w:tr w:rsidR="00013C9A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C9A" w:rsidRPr="00DA38AF" w:rsidRDefault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destinatie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251CEB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generală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C9A" w:rsidRPr="00DA38AF" w:rsidRDefault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3C9A" w:rsidRPr="00DA38AF" w:rsidRDefault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3C9A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3C9A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3C9A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11,2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B2086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ro-RO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capital primate cu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special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</w:t>
            </w:r>
            <w:r w:rsidR="00DB2086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="00DA38AF"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013C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B2086" w:rsidP="00E04A35">
            <w:pPr>
              <w:pStyle w:val="a4"/>
              <w:autoSpaceDE w:val="0"/>
              <w:autoSpaceDN w:val="0"/>
              <w:adjustRightInd w:val="0"/>
              <w:ind w:left="42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112,0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A38AF" w:rsidP="00E04A35">
            <w:pPr>
              <w:pStyle w:val="a4"/>
              <w:autoSpaceDE w:val="0"/>
              <w:autoSpaceDN w:val="0"/>
              <w:adjustRightInd w:val="0"/>
              <w:ind w:left="42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E04A35" w:rsidRDefault="00DB2086" w:rsidP="00E04A35">
            <w:pPr>
              <w:autoSpaceDE w:val="0"/>
              <w:autoSpaceDN w:val="0"/>
              <w:adjustRightInd w:val="0"/>
              <w:ind w:left="60"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112,0</w:t>
            </w:r>
          </w:p>
        </w:tc>
      </w:tr>
      <w:tr w:rsidR="00DA38AF" w:rsidRPr="00DA38AF" w:rsidTr="00251CEB"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TOTAL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8AF" w:rsidRPr="00DA38AF" w:rsidRDefault="00DA38A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DB2086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8AF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38AF" w:rsidRPr="00DA38AF" w:rsidRDefault="00DB2086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427,6</w:t>
            </w:r>
          </w:p>
        </w:tc>
      </w:tr>
    </w:tbl>
    <w:p w:rsidR="001C1FFE" w:rsidRPr="00DA38AF" w:rsidRDefault="001C1FFE" w:rsidP="001C1FF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DA38AF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DA38AF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936561" w:rsidRDefault="001C1FFE" w:rsidP="001C1FFE">
      <w:pPr>
        <w:ind w:firstLine="0"/>
        <w:rPr>
          <w:rFonts w:eastAsia="TimesNewRomanPSMT"/>
          <w:bCs/>
          <w:color w:val="000000" w:themeColor="text1"/>
          <w:lang w:val="en-US"/>
        </w:rPr>
      </w:pP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Secretar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al </w:t>
      </w:r>
      <w:proofErr w:type="spellStart"/>
      <w:proofErr w:type="gram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Consiliului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comunal</w:t>
      </w:r>
      <w:proofErr w:type="spellEnd"/>
      <w:proofErr w:type="gram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                                                  </w:t>
      </w:r>
      <w:r w:rsidR="00251CE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</w:t>
      </w:r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Barbă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Zinaida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</w:t>
      </w:r>
      <w:r w:rsidRPr="00936561">
        <w:rPr>
          <w:rFonts w:eastAsia="TimesNewRomanPSMT"/>
          <w:bCs/>
          <w:color w:val="000000" w:themeColor="text1"/>
          <w:lang w:val="en-US"/>
        </w:rPr>
        <w:t xml:space="preserve">  </w:t>
      </w: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DA38AF" w:rsidRDefault="001C1FFE" w:rsidP="001C1FF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624178" w:rsidRDefault="00624178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E3045" w:rsidRDefault="001E3045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E3045" w:rsidRDefault="001E3045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591FDA" w:rsidRDefault="00591FDA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591FDA" w:rsidRDefault="00591FDA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251CEB" w:rsidRPr="00DA38AF" w:rsidRDefault="00251CEB" w:rsidP="00624178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1C1FFE" w:rsidRPr="00B558B7" w:rsidRDefault="00923280" w:rsidP="00923280">
      <w:pPr>
        <w:autoSpaceDE w:val="0"/>
        <w:autoSpaceDN w:val="0"/>
        <w:adjustRightInd w:val="0"/>
        <w:ind w:firstLine="0"/>
        <w:jc w:val="right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  <w:r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lastRenderedPageBreak/>
        <w:t xml:space="preserve">                          </w:t>
      </w:r>
      <w:proofErr w:type="spellStart"/>
      <w:proofErr w:type="gram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Anexa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nr.</w:t>
      </w:r>
      <w:proofErr w:type="gram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gram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3                                                                                                                                        la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decizia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Consiliului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comunal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Văscăuți</w:t>
      </w:r>
      <w:proofErr w:type="spellEnd"/>
      <w:r w:rsidR="001C1FFE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="00013C9A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</w:t>
      </w:r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nr.</w:t>
      </w:r>
      <w:proofErr w:type="gramEnd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03/01 </w:t>
      </w:r>
      <w:proofErr w:type="gramStart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din  21</w:t>
      </w:r>
      <w:proofErr w:type="gramEnd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mai</w:t>
      </w:r>
      <w:proofErr w:type="spellEnd"/>
      <w:r w:rsidR="006F6354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r w:rsidR="00013C9A" w:rsidRPr="00B558B7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2020</w:t>
      </w:r>
    </w:p>
    <w:p w:rsidR="001C1FFE" w:rsidRPr="00DA38AF" w:rsidRDefault="001C1FFE" w:rsidP="00624178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Resursele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şi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cheltuielile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bugetului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comunei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Văscăuţi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conform                                                            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clasificației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funcționale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și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programe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pe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anul</w:t>
      </w:r>
      <w:proofErr w:type="spellEnd"/>
      <w:r w:rsidRPr="00936561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2020</w:t>
      </w: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3794"/>
        <w:gridCol w:w="1260"/>
        <w:gridCol w:w="1066"/>
        <w:gridCol w:w="1241"/>
        <w:gridCol w:w="6"/>
        <w:gridCol w:w="1293"/>
        <w:gridCol w:w="1263"/>
      </w:tblGrid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923280" w:rsidRPr="00923280" w:rsidRDefault="009232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Denumirea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923280" w:rsidRPr="00923280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       Cod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923280" w:rsidRPr="00923280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Aprobat</w:t>
            </w:r>
            <w:proofErr w:type="spellEnd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,</w:t>
            </w:r>
          </w:p>
          <w:p w:rsidR="00923280" w:rsidRPr="00923280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mii lei</w:t>
            </w:r>
          </w:p>
          <w:p w:rsidR="00923280" w:rsidRPr="00923280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923280" w:rsidRPr="00DA38AF" w:rsidRDefault="00923280" w:rsidP="00013C9A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923280" w:rsidRPr="00DA38AF" w:rsidRDefault="00923280" w:rsidP="00013C9A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23280" w:rsidRPr="00DA38AF" w:rsidRDefault="00923280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Decizia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923280" w:rsidRPr="00DA38AF" w:rsidRDefault="00923280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nr</w:t>
            </w:r>
            <w:proofErr w:type="gram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 01/01</w:t>
            </w:r>
          </w:p>
          <w:p w:rsidR="00923280" w:rsidRPr="00DA38AF" w:rsidRDefault="00923280" w:rsidP="00013C9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din 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16.01.2020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Modificat</w:t>
            </w:r>
            <w:proofErr w:type="spellEnd"/>
          </w:p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Majorat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+</w:t>
            </w:r>
          </w:p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Micșorat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</w:t>
            </w:r>
          </w:p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923280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:rsidR="00923280" w:rsidRPr="00DA38AF" w:rsidRDefault="00923280" w:rsidP="00923280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Buget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</w:p>
          <w:p w:rsidR="00923280" w:rsidRPr="00DA38AF" w:rsidRDefault="00923280" w:rsidP="00923280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B8C" w:rsidRPr="00DA38AF" w:rsidTr="00923280">
        <w:trPr>
          <w:trHeight w:val="60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,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(2+3)-3192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27,6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personal,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21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Investiţii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capitale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 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3192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de stat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destinatie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generală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01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44,3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44,3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generale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29,3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autorităţi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instituţii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bugetare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, total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44,3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Gestionarea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fondului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rezerva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0802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</w:tr>
      <w:tr w:rsidR="00E76B8C" w:rsidRPr="00DA38AF" w:rsidTr="00923280">
        <w:trPr>
          <w:trHeight w:val="45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Activitatea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consiliilor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locale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</w:tr>
      <w:tr w:rsidR="00E76B8C" w:rsidRPr="00DA38AF" w:rsidTr="00923280">
        <w:trPr>
          <w:trHeight w:val="45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Exercitarea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guvernarii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0301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013C9A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F94F17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  <w:r w:rsidR="00013C9A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29,8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domeniul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economiei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04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autorităţi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instituţii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rPr>
          <w:trHeight w:val="38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Transport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rutier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6402</w:t>
            </w:r>
          </w:p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Infrastructura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6402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Gospodaria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locuinte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gospodaria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013C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013C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013C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 w:rsidP="00013C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E76B8C" w:rsidRPr="00DA38AF" w:rsidTr="00923280">
        <w:trPr>
          <w:trHeight w:val="334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Dezvoltarea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gospodăriei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locuințe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și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Aprovizionarea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lastRenderedPageBreak/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Iluminarea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stradala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182,0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182,0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Cultura,sport,tineret,culte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odihna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E76B8C" w:rsidRPr="00DA38AF" w:rsidTr="00923280">
        <w:trPr>
          <w:trHeight w:val="19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Dezvoltarea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culturii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8502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Invatamint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E76B8C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</w:t>
            </w:r>
            <w:r w:rsidR="00801069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Educatie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timpurie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8802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Protecție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socială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92328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E76B8C" w:rsidRPr="00DA38AF" w:rsidTr="0092328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 w:rsidP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protecție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socială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9019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280" w:rsidRPr="00DA38AF" w:rsidRDefault="009232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3280" w:rsidRPr="00DA38AF" w:rsidRDefault="00923280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280" w:rsidRPr="00DA38AF" w:rsidRDefault="00801069" w:rsidP="0062417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</w:tbl>
    <w:p w:rsidR="001C1FFE" w:rsidRPr="00DA38AF" w:rsidRDefault="001C1FFE" w:rsidP="001C1FF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DA38AF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DA38AF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1C1FFE" w:rsidRPr="00936561" w:rsidRDefault="001C1FFE" w:rsidP="001C1FF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Secretar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al </w:t>
      </w:r>
      <w:proofErr w:type="spellStart"/>
      <w:proofErr w:type="gram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Consiliului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comunal</w:t>
      </w:r>
      <w:proofErr w:type="spellEnd"/>
      <w:proofErr w:type="gram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                                             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Barbă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Zinaida</w:t>
      </w:r>
      <w:proofErr w:type="spellEnd"/>
      <w:r w:rsidRPr="00936561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</w:t>
      </w:r>
    </w:p>
    <w:p w:rsidR="001C1FFE" w:rsidRPr="00936561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</w:p>
    <w:p w:rsidR="001C1FFE" w:rsidRPr="00DA38AF" w:rsidRDefault="001C1FFE" w:rsidP="001C1FF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000000" w:themeColor="text1"/>
          <w:highlight w:val="yellow"/>
          <w:lang w:val="en-US"/>
        </w:rPr>
      </w:pPr>
    </w:p>
    <w:p w:rsidR="00C15889" w:rsidRPr="00DA38AF" w:rsidRDefault="00C15889">
      <w:pPr>
        <w:rPr>
          <w:lang w:val="en-US"/>
        </w:rPr>
      </w:pPr>
    </w:p>
    <w:sectPr w:rsidR="00C15889" w:rsidRPr="00DA38AF" w:rsidSect="001732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7664"/>
    <w:multiLevelType w:val="hybridMultilevel"/>
    <w:tmpl w:val="0C4C453C"/>
    <w:lvl w:ilvl="0" w:tplc="16181342">
      <w:start w:val="4"/>
      <w:numFmt w:val="bullet"/>
      <w:lvlText w:val="-"/>
      <w:lvlJc w:val="left"/>
      <w:pPr>
        <w:ind w:left="4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213E8D"/>
    <w:multiLevelType w:val="multilevel"/>
    <w:tmpl w:val="F5068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FFE"/>
    <w:rsid w:val="00013C9A"/>
    <w:rsid w:val="00056B57"/>
    <w:rsid w:val="000A5C3E"/>
    <w:rsid w:val="00130312"/>
    <w:rsid w:val="00173227"/>
    <w:rsid w:val="0019060D"/>
    <w:rsid w:val="001C1FFE"/>
    <w:rsid w:val="001E3045"/>
    <w:rsid w:val="00205D78"/>
    <w:rsid w:val="00251CEB"/>
    <w:rsid w:val="002E41DE"/>
    <w:rsid w:val="003A46E9"/>
    <w:rsid w:val="004578DA"/>
    <w:rsid w:val="00586705"/>
    <w:rsid w:val="00591FDA"/>
    <w:rsid w:val="005D26BB"/>
    <w:rsid w:val="00624178"/>
    <w:rsid w:val="006F6354"/>
    <w:rsid w:val="00757BD4"/>
    <w:rsid w:val="00765FD7"/>
    <w:rsid w:val="00801069"/>
    <w:rsid w:val="00923280"/>
    <w:rsid w:val="00936561"/>
    <w:rsid w:val="009A5037"/>
    <w:rsid w:val="00B558B7"/>
    <w:rsid w:val="00B5787A"/>
    <w:rsid w:val="00C15889"/>
    <w:rsid w:val="00C741EC"/>
    <w:rsid w:val="00CA1989"/>
    <w:rsid w:val="00DA0676"/>
    <w:rsid w:val="00DA38AF"/>
    <w:rsid w:val="00DB2086"/>
    <w:rsid w:val="00E04A35"/>
    <w:rsid w:val="00E76B8C"/>
    <w:rsid w:val="00EB5A5C"/>
    <w:rsid w:val="00F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FE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FFE"/>
    <w:pPr>
      <w:spacing w:after="0" w:line="240" w:lineRule="auto"/>
      <w:ind w:firstLine="720"/>
    </w:pPr>
    <w:rPr>
      <w:lang w:val="ro-MO"/>
    </w:rPr>
  </w:style>
  <w:style w:type="paragraph" w:styleId="a4">
    <w:name w:val="List Paragraph"/>
    <w:basedOn w:val="a"/>
    <w:uiPriority w:val="34"/>
    <w:qFormat/>
    <w:rsid w:val="001C1FFE"/>
    <w:pPr>
      <w:ind w:left="720" w:firstLine="0"/>
      <w:contextualSpacing/>
    </w:pPr>
    <w:rPr>
      <w:lang w:val="ru-RU"/>
    </w:rPr>
  </w:style>
  <w:style w:type="table" w:styleId="a5">
    <w:name w:val="Table Grid"/>
    <w:basedOn w:val="a1"/>
    <w:uiPriority w:val="59"/>
    <w:rsid w:val="001C1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227"/>
    <w:rPr>
      <w:rFonts w:ascii="Tahoma" w:hAnsi="Tahoma" w:cs="Tahoma"/>
      <w:sz w:val="16"/>
      <w:szCs w:val="16"/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FE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FFE"/>
    <w:pPr>
      <w:spacing w:after="0" w:line="240" w:lineRule="auto"/>
      <w:ind w:firstLine="720"/>
    </w:pPr>
    <w:rPr>
      <w:lang w:val="ro-MO"/>
    </w:rPr>
  </w:style>
  <w:style w:type="paragraph" w:styleId="a4">
    <w:name w:val="List Paragraph"/>
    <w:basedOn w:val="a"/>
    <w:uiPriority w:val="34"/>
    <w:qFormat/>
    <w:rsid w:val="001C1FFE"/>
    <w:pPr>
      <w:ind w:left="720" w:firstLine="0"/>
      <w:contextualSpacing/>
    </w:pPr>
    <w:rPr>
      <w:lang w:val="ru-RU"/>
    </w:rPr>
  </w:style>
  <w:style w:type="table" w:styleId="a5">
    <w:name w:val="Table Grid"/>
    <w:basedOn w:val="a1"/>
    <w:uiPriority w:val="59"/>
    <w:rsid w:val="001C1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216F-74F4-460D-8423-DC8BBDFA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2020-05-25T07:53:00Z</cp:lastPrinted>
  <dcterms:created xsi:type="dcterms:W3CDTF">2020-01-11T06:46:00Z</dcterms:created>
  <dcterms:modified xsi:type="dcterms:W3CDTF">2020-05-25T08:03:00Z</dcterms:modified>
</cp:coreProperties>
</file>