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95" w:rsidRDefault="00A859DE" w:rsidP="000C3E95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40762690" r:id="rId7"/>
        </w:pict>
      </w:r>
    </w:p>
    <w:p w:rsidR="000C3E95" w:rsidRDefault="000C3E95" w:rsidP="000C3E95">
      <w:pPr>
        <w:jc w:val="center"/>
        <w:rPr>
          <w:b/>
          <w:bCs/>
          <w:lang w:val="ro-RO"/>
        </w:rPr>
      </w:pPr>
    </w:p>
    <w:p w:rsidR="000C3E95" w:rsidRPr="00965139" w:rsidRDefault="000C3E95" w:rsidP="000C3E95">
      <w:pPr>
        <w:jc w:val="center"/>
        <w:rPr>
          <w:b/>
          <w:bCs/>
          <w:lang w:val="ro-RO"/>
        </w:rPr>
      </w:pPr>
    </w:p>
    <w:p w:rsidR="000C3E95" w:rsidRPr="00965139" w:rsidRDefault="000C3E95" w:rsidP="000C3E9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REPUBLICA MOLDOVA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bCs/>
          <w:sz w:val="24"/>
          <w:szCs w:val="24"/>
          <w:lang w:val="ro-RO"/>
        </w:rPr>
        <w:t>RAIONUL  FLOREŞTI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Pr="00965139">
        <w:rPr>
          <w:rFonts w:ascii="Times New Roman" w:hAnsi="Times New Roman" w:cs="Times New Roman"/>
          <w:b/>
          <w:sz w:val="24"/>
          <w:szCs w:val="24"/>
          <w:lang w:val="ro-RO"/>
        </w:rPr>
        <w:t>MD- 6652, tel. (250) 56 -236</w:t>
      </w:r>
    </w:p>
    <w:p w:rsidR="000C3E95" w:rsidRDefault="000C3E95" w:rsidP="000C3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3E95" w:rsidRPr="003E482C" w:rsidRDefault="008E0195" w:rsidP="000C3E95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82C">
        <w:rPr>
          <w:rFonts w:ascii="Times New Roman" w:hAnsi="Times New Roman" w:cs="Times New Roman"/>
          <w:b/>
          <w:sz w:val="24"/>
          <w:szCs w:val="24"/>
        </w:rPr>
        <w:t>DECIZIE</w:t>
      </w:r>
      <w:r w:rsidR="007405B8" w:rsidRPr="003E482C">
        <w:rPr>
          <w:rFonts w:ascii="Times New Roman" w:hAnsi="Times New Roman" w:cs="Times New Roman"/>
          <w:b/>
          <w:sz w:val="24"/>
          <w:szCs w:val="24"/>
        </w:rPr>
        <w:t xml:space="preserve"> nr. 01/01</w:t>
      </w:r>
      <w:r w:rsidR="000C3E95" w:rsidRPr="003E48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7405B8" w:rsidRPr="003E482C">
        <w:rPr>
          <w:rFonts w:ascii="Times New Roman" w:hAnsi="Times New Roman" w:cs="Times New Roman"/>
          <w:b/>
          <w:sz w:val="24"/>
          <w:szCs w:val="24"/>
        </w:rPr>
        <w:t>din 16 ianuarie 2020</w:t>
      </w:r>
    </w:p>
    <w:p w:rsidR="000C3E95" w:rsidRPr="003E482C" w:rsidRDefault="000C3E95" w:rsidP="000C3E95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>Cu privire la corelarea bugetului comunei Văscăuți</w:t>
      </w:r>
    </w:p>
    <w:p w:rsidR="000C3E95" w:rsidRPr="003E482C" w:rsidRDefault="000C3E95" w:rsidP="000C3E95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pentru anul 2020 cu Legea bugetului de stat pe anul 2020.</w:t>
      </w:r>
    </w:p>
    <w:p w:rsidR="007405B8" w:rsidRPr="003E482C" w:rsidRDefault="007405B8" w:rsidP="000C3E95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0C3E95" w:rsidRPr="003E482C" w:rsidRDefault="007405B8" w:rsidP="000C3E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      Urmare scrisorii Ministerului Finanțelor nr. 11/1 – 09/93 din 30 decembrie 2019 cu privire la stabilirea transferurilor cu destinație specială pentru cheltuieli capitale și informația privind măsurile acceptate pentru finanțarea educației 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și școlilor sportive din contul transferurilor cu destinație specială 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>și avînd în vedere necesitatea corelării bugetului comunei Văscăuți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pentru anul 2020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, aprobat prin decizia 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>Consiliului comunal nr. 07/15 din 10 decembrie 2019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1C0D1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Legea 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>bugetul</w:t>
      </w:r>
      <w:r w:rsidR="001C0D1B" w:rsidRPr="003E482C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de stat pe anul 2020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 xml:space="preserve"> nr. 172/</w:t>
      </w:r>
      <w:r w:rsidR="00C220DB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2019, 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 55 (5) al Legii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>nr. 181/</w:t>
      </w:r>
      <w:r w:rsidR="001C0D1B" w:rsidRPr="003E482C">
        <w:rPr>
          <w:rFonts w:ascii="Times New Roman" w:hAnsi="Times New Roman" w:cs="Times New Roman"/>
          <w:sz w:val="24"/>
          <w:szCs w:val="24"/>
          <w:lang w:val="ro-RO"/>
        </w:rPr>
        <w:t>2014, art. 24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al Legii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 xml:space="preserve"> Republicii Moldova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>nr. 397/</w:t>
      </w:r>
      <w:r w:rsidR="001C0D1B" w:rsidRPr="003E482C">
        <w:rPr>
          <w:rFonts w:ascii="Times New Roman" w:hAnsi="Times New Roman" w:cs="Times New Roman"/>
          <w:sz w:val="24"/>
          <w:szCs w:val="24"/>
          <w:lang w:val="ro-RO"/>
        </w:rPr>
        <w:t>2003, art. 62 al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Legii 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>Republicii Moldova nr.100/</w:t>
      </w:r>
      <w:r w:rsidR="001C0D1B" w:rsidRPr="003E482C">
        <w:rPr>
          <w:rFonts w:ascii="Times New Roman" w:hAnsi="Times New Roman" w:cs="Times New Roman"/>
          <w:sz w:val="24"/>
          <w:szCs w:val="24"/>
          <w:lang w:val="ro-RO"/>
        </w:rPr>
        <w:t>2017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, art. 14 alin.(2) lit. n) al Legii 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>Republicii Moldova nr. 436/</w:t>
      </w:r>
      <w:r w:rsidR="000C3E95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2006,  </w:t>
      </w:r>
      <w:r w:rsidR="003E482C">
        <w:rPr>
          <w:rFonts w:ascii="Times New Roman" w:hAnsi="Times New Roman" w:cs="Times New Roman"/>
          <w:sz w:val="24"/>
          <w:szCs w:val="24"/>
          <w:lang w:val="ro-RO"/>
        </w:rPr>
        <w:t>Consiliul comunal Văscăuți</w:t>
      </w:r>
    </w:p>
    <w:p w:rsidR="000C3E95" w:rsidRPr="003E482C" w:rsidRDefault="000C3E95" w:rsidP="001C0D1B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="003E4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DECIDE</w:t>
      </w:r>
      <w:r w:rsidRPr="003E482C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                                              </w:t>
      </w:r>
    </w:p>
    <w:p w:rsidR="000C3E95" w:rsidRPr="003E482C" w:rsidRDefault="000C3E95" w:rsidP="000C3E95">
      <w:pPr>
        <w:pStyle w:val="a3"/>
        <w:numPr>
          <w:ilvl w:val="0"/>
          <w:numId w:val="1"/>
        </w:numPr>
        <w:rPr>
          <w:lang w:val="ro-RO"/>
        </w:rPr>
      </w:pPr>
      <w:r w:rsidRPr="003E482C">
        <w:rPr>
          <w:lang w:val="ro-RO"/>
        </w:rPr>
        <w:t>Se aprobă corelarea bugetului comunei Văscăuți pentru anul 2020, aprobat prin decizia Consiliului comunal nr. 07/15 din 10 decembrie 2019, cu Legea bugetului de stat pentru anul 2020, după cum urmează:</w:t>
      </w:r>
    </w:p>
    <w:p w:rsidR="001C0D1B" w:rsidRPr="003E482C" w:rsidRDefault="001C0D1B" w:rsidP="001C0D1B">
      <w:pPr>
        <w:pStyle w:val="a3"/>
        <w:rPr>
          <w:lang w:val="ro-RO"/>
        </w:rPr>
      </w:pPr>
    </w:p>
    <w:p w:rsidR="000C3E95" w:rsidRPr="003E482C" w:rsidRDefault="000C3E95" w:rsidP="000C3E95">
      <w:pPr>
        <w:pStyle w:val="a3"/>
        <w:numPr>
          <w:ilvl w:val="1"/>
          <w:numId w:val="1"/>
        </w:numPr>
        <w:rPr>
          <w:lang w:val="ro-RO"/>
        </w:rPr>
      </w:pPr>
      <w:r w:rsidRPr="003E482C">
        <w:rPr>
          <w:lang w:val="ro-RO"/>
        </w:rPr>
        <w:t xml:space="preserve">la punctul 1 sintagma ,,venituri în sumă de </w:t>
      </w:r>
      <w:r w:rsidRPr="003E482C">
        <w:rPr>
          <w:b/>
          <w:lang w:val="ro-RO"/>
        </w:rPr>
        <w:t>2304,4</w:t>
      </w:r>
      <w:r w:rsidRPr="003E482C">
        <w:rPr>
          <w:lang w:val="ro-RO"/>
        </w:rPr>
        <w:t xml:space="preserve"> mii lei” se substituie cu </w:t>
      </w:r>
    </w:p>
    <w:p w:rsidR="000C3E95" w:rsidRPr="003E482C" w:rsidRDefault="000C3E95" w:rsidP="000C3E95">
      <w:pPr>
        <w:pStyle w:val="a3"/>
        <w:ind w:left="780"/>
        <w:rPr>
          <w:lang w:val="ro-RO"/>
        </w:rPr>
      </w:pPr>
      <w:r w:rsidRPr="003E482C">
        <w:rPr>
          <w:lang w:val="ro-RO"/>
        </w:rPr>
        <w:t xml:space="preserve">sintagma ,,venituri în sumă de </w:t>
      </w:r>
      <w:r w:rsidRPr="003E482C">
        <w:rPr>
          <w:b/>
          <w:lang w:val="ro-RO"/>
        </w:rPr>
        <w:t xml:space="preserve">2416,4 </w:t>
      </w:r>
      <w:r w:rsidRPr="003E482C">
        <w:rPr>
          <w:lang w:val="ro-RO"/>
        </w:rPr>
        <w:t xml:space="preserve">mii lei” și sintagma ,,cheltuieli în sumă de </w:t>
      </w:r>
      <w:r w:rsidR="008E0195" w:rsidRPr="003E482C">
        <w:rPr>
          <w:lang w:val="ro-RO"/>
        </w:rPr>
        <w:t xml:space="preserve">                   </w:t>
      </w:r>
      <w:r w:rsidRPr="003E482C">
        <w:rPr>
          <w:b/>
          <w:lang w:val="ro-RO"/>
        </w:rPr>
        <w:t xml:space="preserve">2304,4 </w:t>
      </w:r>
      <w:r w:rsidRPr="003E482C">
        <w:rPr>
          <w:lang w:val="ro-RO"/>
        </w:rPr>
        <w:t xml:space="preserve">mii lei” se substituie cu sintagma ,,cheltuieli în sumă de  </w:t>
      </w:r>
      <w:r w:rsidRPr="003E482C">
        <w:rPr>
          <w:b/>
          <w:lang w:val="ro-RO"/>
        </w:rPr>
        <w:t xml:space="preserve">2416,4 </w:t>
      </w:r>
      <w:r w:rsidRPr="003E482C">
        <w:rPr>
          <w:lang w:val="ro-RO"/>
        </w:rPr>
        <w:t>mii lei”.</w:t>
      </w:r>
    </w:p>
    <w:p w:rsidR="001C0D1B" w:rsidRPr="003E482C" w:rsidRDefault="001C0D1B" w:rsidP="000C3E95">
      <w:pPr>
        <w:pStyle w:val="a3"/>
        <w:ind w:left="780"/>
        <w:rPr>
          <w:lang w:val="ro-RO"/>
        </w:rPr>
      </w:pPr>
    </w:p>
    <w:p w:rsidR="000C3E95" w:rsidRPr="003E482C" w:rsidRDefault="000C3E95" w:rsidP="000C3E95">
      <w:pPr>
        <w:pStyle w:val="a3"/>
        <w:numPr>
          <w:ilvl w:val="1"/>
          <w:numId w:val="1"/>
        </w:numPr>
        <w:rPr>
          <w:lang w:val="ro-RO"/>
        </w:rPr>
      </w:pPr>
      <w:r w:rsidRPr="003E482C">
        <w:rPr>
          <w:lang w:val="ro-RO"/>
        </w:rPr>
        <w:t>Anexa nr. 1 se substituie cu anexa nr.1 la prezenta decizie.</w:t>
      </w:r>
    </w:p>
    <w:p w:rsidR="000C3E95" w:rsidRPr="003E482C" w:rsidRDefault="000C3E95" w:rsidP="000C3E95">
      <w:pPr>
        <w:pStyle w:val="a3"/>
        <w:numPr>
          <w:ilvl w:val="1"/>
          <w:numId w:val="1"/>
        </w:numPr>
        <w:rPr>
          <w:lang w:val="ro-RO"/>
        </w:rPr>
      </w:pPr>
      <w:r w:rsidRPr="003E482C">
        <w:rPr>
          <w:lang w:val="ro-RO"/>
        </w:rPr>
        <w:t>Anexa nr. 2 se substituie cu anexa nr.2 la prezenta decizie.</w:t>
      </w:r>
    </w:p>
    <w:p w:rsidR="000C3E95" w:rsidRPr="003E482C" w:rsidRDefault="000C3E95" w:rsidP="000C3E95">
      <w:pPr>
        <w:pStyle w:val="a3"/>
        <w:numPr>
          <w:ilvl w:val="1"/>
          <w:numId w:val="1"/>
        </w:numPr>
        <w:rPr>
          <w:lang w:val="ro-RO"/>
        </w:rPr>
      </w:pPr>
      <w:r w:rsidRPr="003E482C">
        <w:rPr>
          <w:lang w:val="ro-RO"/>
        </w:rPr>
        <w:t xml:space="preserve">Anexa nr. 3 se substituie cu anexa nr.3 la prezenta decizie. </w:t>
      </w:r>
    </w:p>
    <w:p w:rsidR="000C3E95" w:rsidRPr="003E482C" w:rsidRDefault="000C3E95" w:rsidP="008E01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8E0195" w:rsidRPr="003E482C" w:rsidRDefault="008E0195" w:rsidP="008E01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8E0195" w:rsidRPr="003E482C" w:rsidRDefault="008E0195" w:rsidP="008E01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3E482C" w:rsidRPr="003E48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Cibotari Raisa</w:t>
      </w:r>
    </w:p>
    <w:p w:rsidR="008E0195" w:rsidRDefault="008E0195" w:rsidP="008E01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3E482C">
        <w:rPr>
          <w:rFonts w:ascii="Times New Roman" w:hAnsi="Times New Roman" w:cs="Times New Roman"/>
          <w:sz w:val="24"/>
          <w:szCs w:val="24"/>
          <w:lang w:val="ro-RO"/>
        </w:rPr>
        <w:t>Contrasemnat:                                                                                                                                          Secretar al Consiliului comunal                                                                   Barbă Zinaida</w:t>
      </w:r>
    </w:p>
    <w:p w:rsidR="00A859DE" w:rsidRDefault="00A859DE" w:rsidP="008E0195">
      <w:pPr>
        <w:ind w:firstLine="0"/>
        <w:rPr>
          <w:rFonts w:ascii="Times New Roman" w:hAnsi="Times New Roman" w:cs="Times New Roman"/>
          <w:sz w:val="24"/>
          <w:szCs w:val="24"/>
          <w:lang w:val="ro-RO"/>
        </w:rPr>
      </w:pPr>
    </w:p>
    <w:p w:rsidR="00A859DE" w:rsidRPr="00561E18" w:rsidRDefault="00A859DE" w:rsidP="00A859DE">
      <w:pPr>
        <w:autoSpaceDE w:val="0"/>
        <w:autoSpaceDN w:val="0"/>
        <w:adjustRightInd w:val="0"/>
        <w:jc w:val="right"/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</w:pPr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lastRenderedPageBreak/>
        <w:t xml:space="preserve">                                                                              </w:t>
      </w:r>
      <w:proofErr w:type="spellStart"/>
      <w:proofErr w:type="gram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Anexa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1                                                               la </w:t>
      </w:r>
      <w:proofErr w:type="spell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decizia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Consiliului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comunal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Văscăuți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nr.</w:t>
      </w:r>
      <w:proofErr w:type="gram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01/01 din 16 </w:t>
      </w:r>
      <w:proofErr w:type="spellStart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>ianuarie</w:t>
      </w:r>
      <w:proofErr w:type="spellEnd"/>
      <w:r w:rsidRPr="00561E18">
        <w:rPr>
          <w:rFonts w:ascii="Times New Roman" w:eastAsia="TimesNewRomanPSMT" w:hAnsi="Times New Roman" w:cs="Times New Roman"/>
          <w:bCs/>
          <w:color w:val="000000" w:themeColor="text1"/>
          <w:sz w:val="24"/>
          <w:szCs w:val="24"/>
          <w:lang w:val="en-US"/>
        </w:rPr>
        <w:t xml:space="preserve"> 2020</w:t>
      </w: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color w:val="33339A"/>
          <w:sz w:val="24"/>
          <w:szCs w:val="24"/>
          <w:highlight w:val="yellow"/>
          <w:lang w:val="en-US"/>
        </w:rPr>
      </w:pPr>
    </w:p>
    <w:p w:rsidR="00A859DE" w:rsidRPr="00FE762B" w:rsidRDefault="00A859DE" w:rsidP="00A859DE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Sinteza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indicatorilor</w:t>
      </w:r>
      <w:proofErr w:type="spellEnd"/>
      <w:proofErr w:type="gram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generali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sursele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finanţare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ale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bugetului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comunei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                                 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Văscăuţi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pe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>anul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2020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992"/>
        <w:gridCol w:w="1134"/>
        <w:gridCol w:w="1276"/>
        <w:gridCol w:w="1276"/>
        <w:gridCol w:w="1181"/>
      </w:tblGrid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lang w:val="en-US"/>
              </w:rPr>
              <w:t>Cod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lang w:val="en-US"/>
              </w:rPr>
              <w:t>Eco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  <w:t>Aprobat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sz w:val="20"/>
                <w:szCs w:val="20"/>
                <w:lang w:val="en-US"/>
              </w:rPr>
              <w:t>mii lei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Corelat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Decizia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gram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nr</w:t>
            </w:r>
            <w:proofErr w:type="gram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. 01/01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din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Modificat</w:t>
            </w:r>
            <w:proofErr w:type="spellEnd"/>
          </w:p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Majorat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 +</w:t>
            </w:r>
          </w:p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Micșorat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 -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859DE" w:rsidRPr="00FE762B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A859DE" w:rsidRPr="00FE762B" w:rsidRDefault="00A859DE" w:rsidP="00F911D3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Buget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  <w:t>corelat</w:t>
            </w:r>
            <w:proofErr w:type="spellEnd"/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I. VENITURI,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1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2304,4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+112.0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2416.4</w:t>
            </w:r>
          </w:p>
        </w:tc>
      </w:tr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inclusiv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transferuri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 xml:space="preserve"> de la </w:t>
            </w:r>
            <w:proofErr w:type="spellStart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bugetul</w:t>
            </w:r>
            <w:proofErr w:type="spellEnd"/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 xml:space="preserve"> de stat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1939,0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+112.0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2051.0</w:t>
            </w:r>
          </w:p>
        </w:tc>
      </w:tr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II. CHELTUIELI,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2+3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2304,4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+120.0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2416.4</w:t>
            </w:r>
          </w:p>
        </w:tc>
      </w:tr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III. SOLD BUGETAR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1- (2+3)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</w:tr>
      <w:tr w:rsidR="00A859DE" w:rsidRPr="00FE762B" w:rsidTr="00F911D3">
        <w:tc>
          <w:tcPr>
            <w:tcW w:w="3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IV. SURSELE DE FINANŢARE, 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4+5+9</w:t>
            </w:r>
          </w:p>
          <w:p w:rsidR="00A859DE" w:rsidRPr="00FE762B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  <w:r w:rsidRPr="00FE762B"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lang w:val="en-US"/>
              </w:rPr>
            </w:pPr>
          </w:p>
        </w:tc>
      </w:tr>
      <w:tr w:rsidR="00A859DE" w:rsidRPr="00FE762B" w:rsidTr="00F911D3">
        <w:tc>
          <w:tcPr>
            <w:tcW w:w="9404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A859DE" w:rsidRPr="00FE762B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A859DE" w:rsidRPr="00FE762B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</w:pPr>
    </w:p>
    <w:p w:rsidR="00A859DE" w:rsidRPr="00FE762B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highlight w:val="yellow"/>
          <w:lang w:val="en-US"/>
        </w:rPr>
      </w:pPr>
    </w:p>
    <w:p w:rsidR="00A859DE" w:rsidRPr="00FE762B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</w:pPr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Secretar</w:t>
      </w:r>
      <w:proofErr w:type="spellEnd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al </w:t>
      </w:r>
      <w:proofErr w:type="spellStart"/>
      <w:proofErr w:type="gramStart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Consiliului</w:t>
      </w:r>
      <w:proofErr w:type="spellEnd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comunal</w:t>
      </w:r>
      <w:proofErr w:type="spellEnd"/>
      <w:proofErr w:type="gramEnd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                </w:t>
      </w:r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</w:t>
      </w:r>
      <w:proofErr w:type="spellStart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Barbă</w:t>
      </w:r>
      <w:proofErr w:type="spellEnd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  <w:t>Zinaida</w:t>
      </w:r>
      <w:proofErr w:type="spellEnd"/>
      <w:r w:rsidRPr="00FE762B"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</w:t>
      </w:r>
    </w:p>
    <w:p w:rsidR="00A859DE" w:rsidRPr="00FE762B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sz w:val="24"/>
          <w:szCs w:val="24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33339A"/>
          <w:sz w:val="24"/>
          <w:szCs w:val="24"/>
          <w:highlight w:val="yellow"/>
          <w:lang w:val="en-US"/>
        </w:rPr>
      </w:pPr>
    </w:p>
    <w:p w:rsidR="00A859DE" w:rsidRPr="00FE762B" w:rsidRDefault="00A859DE" w:rsidP="00A859DE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E762B">
        <w:rPr>
          <w:rFonts w:ascii="Times New Roman" w:hAnsi="Times New Roman" w:cs="Times New Roman"/>
          <w:sz w:val="24"/>
          <w:szCs w:val="24"/>
          <w:lang w:val="en-US"/>
        </w:rPr>
        <w:lastRenderedPageBreak/>
        <w:t>Anexa</w:t>
      </w:r>
      <w:proofErr w:type="spell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A859DE" w:rsidRPr="00FE762B" w:rsidRDefault="00A859DE" w:rsidP="00A859DE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E762B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62B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</w:p>
    <w:p w:rsidR="00A859DE" w:rsidRPr="00FE762B" w:rsidRDefault="00A859DE" w:rsidP="00A859DE">
      <w:pPr>
        <w:pStyle w:val="a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gramStart"/>
      <w:r w:rsidRPr="00FE762B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. 01/01 din 16 </w:t>
      </w:r>
      <w:proofErr w:type="spellStart"/>
      <w:r w:rsidRPr="00FE762B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Pr="00FE762B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</w:p>
    <w:p w:rsidR="00A859DE" w:rsidRPr="00FE762B" w:rsidRDefault="00A859DE" w:rsidP="00A859DE">
      <w:pPr>
        <w:autoSpaceDE w:val="0"/>
        <w:autoSpaceDN w:val="0"/>
        <w:adjustRightInd w:val="0"/>
        <w:ind w:firstLine="0"/>
        <w:rPr>
          <w:rFonts w:ascii="Times New Roman" w:eastAsia="TimesNewRomanPSMT" w:hAnsi="Times New Roman" w:cs="Times New Roman"/>
          <w:b/>
          <w:bCs/>
          <w:sz w:val="24"/>
          <w:szCs w:val="24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Componenţa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veniturilor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bugetului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Văscăuţi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pe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>anul</w:t>
      </w:r>
      <w:proofErr w:type="spellEnd"/>
      <w:r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2020</w:t>
      </w:r>
    </w:p>
    <w:tbl>
      <w:tblPr>
        <w:tblStyle w:val="a5"/>
        <w:tblW w:w="10349" w:type="dxa"/>
        <w:tblInd w:w="-743" w:type="dxa"/>
        <w:tblLook w:val="04A0" w:firstRow="1" w:lastRow="0" w:firstColumn="1" w:lastColumn="0" w:noHBand="0" w:noVBand="1"/>
      </w:tblPr>
      <w:tblGrid>
        <w:gridCol w:w="4654"/>
        <w:gridCol w:w="981"/>
        <w:gridCol w:w="993"/>
        <w:gridCol w:w="1176"/>
        <w:gridCol w:w="1313"/>
        <w:gridCol w:w="1232"/>
      </w:tblGrid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Cod</w:t>
            </w:r>
          </w:p>
          <w:p w:rsidR="00A859DE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Eco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(k4)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Aprobat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mii lei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Decizia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nr</w:t>
            </w:r>
            <w:proofErr w:type="gram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 01/01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din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Modificat</w:t>
            </w:r>
            <w:proofErr w:type="spellEnd"/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Majorat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+</w:t>
            </w: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Micșorat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A859DE" w:rsidRDefault="00A859DE" w:rsidP="00F911D3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Default="00A859DE" w:rsidP="00F911D3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Buget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859DE" w:rsidRPr="00DA38AF" w:rsidTr="00F911D3">
        <w:trPr>
          <w:trHeight w:val="374"/>
        </w:trPr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reţinut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salariu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111110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121.7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aferente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declaraţiilor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depuse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111121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6.8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înregistrate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calitate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113161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110.8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funciar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-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cetățeni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113171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37.5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37.5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0.7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ale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3.2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juridice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înregistrate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calitate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valoarea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estimată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piaţă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) 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Impozit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achitat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persoanele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fizice-cetăţeni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valoarea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estimată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piaţă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) 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imobiliare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113240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0.4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Taxa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amenajarea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teritoriului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114412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2.1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2.1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Taxa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patenta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întreprinzător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114522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0.6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Taxe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unităţile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comerciale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prestări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servicii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114418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26.7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Arenda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terenurilor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agricolă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141522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14.6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14.6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Plata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locaţiunea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bunurilor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patrimoniului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public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142252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Amenzi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sancţiuni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contravenţionale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143130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    </w:t>
            </w: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Alte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venituri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145152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0.2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Incasări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la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prestarea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plată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142310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39.7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generală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1077.6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1077.6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specială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învăţămîntul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preşcolar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primar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secundar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general, special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complementar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(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extraşcolar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697.8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primate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specială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la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către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infrastructura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drumurilor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publice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>191216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116.8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lastRenderedPageBreak/>
              <w:t xml:space="preserve">Transfer 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fondul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compensare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191232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46.8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46.8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B2086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ro-RO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Transferuri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capital primate cu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destinaţie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special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între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bugetul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şi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bugetele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nivelul</w:t>
            </w:r>
            <w:proofErr w:type="spellEnd"/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1932</w:t>
            </w: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A859D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pStyle w:val="a3"/>
              <w:autoSpaceDE w:val="0"/>
              <w:autoSpaceDN w:val="0"/>
              <w:adjustRightInd w:val="0"/>
              <w:ind w:left="42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  <w:r>
              <w:rPr>
                <w:rFonts w:eastAsia="TimesNewRomanPSMT"/>
                <w:b/>
                <w:bCs/>
                <w:color w:val="000000" w:themeColor="text1"/>
                <w:lang w:val="en-US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pStyle w:val="a3"/>
              <w:autoSpaceDE w:val="0"/>
              <w:autoSpaceDN w:val="0"/>
              <w:adjustRightInd w:val="0"/>
              <w:ind w:left="42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  <w:r>
              <w:rPr>
                <w:rFonts w:eastAsia="TimesNewRomanPSMT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E04A35" w:rsidRDefault="00A859DE" w:rsidP="00F911D3">
            <w:pPr>
              <w:autoSpaceDE w:val="0"/>
              <w:autoSpaceDN w:val="0"/>
              <w:adjustRightInd w:val="0"/>
              <w:ind w:left="60"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112,0</w:t>
            </w: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Donații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voluntare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din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interne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pentru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instituțiile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bugetare</w:t>
            </w:r>
            <w:proofErr w:type="spellEnd"/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144114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</w:tr>
    </w:tbl>
    <w:p w:rsidR="00A859DE" w:rsidRPr="00DA38AF" w:rsidRDefault="00A859DE" w:rsidP="00A859D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DA38AF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DA38AF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C8101B" w:rsidRDefault="00A859DE" w:rsidP="00A859DE">
      <w:pPr>
        <w:ind w:firstLine="0"/>
        <w:rPr>
          <w:rFonts w:eastAsia="TimesNewRomanPSMT"/>
          <w:bCs/>
          <w:color w:val="000000" w:themeColor="text1"/>
          <w:lang w:val="en-US"/>
        </w:rPr>
      </w:pP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Secretar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al </w:t>
      </w:r>
      <w:proofErr w:type="spellStart"/>
      <w:proofErr w:type="gram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Consiliului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comunal</w:t>
      </w:r>
      <w:proofErr w:type="spellEnd"/>
      <w:proofErr w:type="gram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                                                  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Barbă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Zinaida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</w:t>
      </w:r>
      <w:r w:rsidRPr="00C8101B">
        <w:rPr>
          <w:rFonts w:eastAsia="TimesNewRomanPSMT"/>
          <w:bCs/>
          <w:color w:val="000000" w:themeColor="text1"/>
          <w:lang w:val="en-US"/>
        </w:rPr>
        <w:t xml:space="preserve">  </w:t>
      </w:r>
    </w:p>
    <w:p w:rsidR="00A859DE" w:rsidRPr="00C8101B" w:rsidRDefault="00A859DE" w:rsidP="00A859DE">
      <w:pPr>
        <w:ind w:firstLine="0"/>
        <w:rPr>
          <w:rFonts w:eastAsia="TimesNewRomanPSMT"/>
          <w:bCs/>
          <w:color w:val="000000" w:themeColor="text1"/>
          <w:lang w:val="en-US"/>
        </w:rPr>
      </w:pPr>
    </w:p>
    <w:p w:rsidR="00A859DE" w:rsidRPr="00C8101B" w:rsidRDefault="00A859DE" w:rsidP="00A859DE">
      <w:pPr>
        <w:ind w:firstLine="0"/>
        <w:rPr>
          <w:rFonts w:eastAsia="TimesNewRomanPSMT"/>
          <w:bCs/>
          <w:color w:val="000000" w:themeColor="text1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Default="00A859DE" w:rsidP="00A859DE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DA38AF" w:rsidRDefault="00A859DE" w:rsidP="00A859DE">
      <w:pPr>
        <w:autoSpaceDE w:val="0"/>
        <w:autoSpaceDN w:val="0"/>
        <w:adjustRightInd w:val="0"/>
        <w:ind w:firstLine="0"/>
        <w:rPr>
          <w:rFonts w:eastAsia="TimesNewRomanPSMT"/>
          <w:bCs/>
          <w:color w:val="000000" w:themeColor="text1"/>
          <w:highlight w:val="yellow"/>
          <w:lang w:val="en-US"/>
        </w:rPr>
      </w:pPr>
    </w:p>
    <w:p w:rsidR="00A859DE" w:rsidRPr="00FE762B" w:rsidRDefault="00A859DE" w:rsidP="00A859DE">
      <w:pPr>
        <w:autoSpaceDE w:val="0"/>
        <w:autoSpaceDN w:val="0"/>
        <w:adjustRightInd w:val="0"/>
        <w:ind w:firstLine="0"/>
        <w:jc w:val="right"/>
        <w:rPr>
          <w:rFonts w:ascii="Times New Roman" w:eastAsia="TimesNewRomanPSMT" w:hAnsi="Times New Roman" w:cs="Times New Roman"/>
          <w:bCs/>
          <w:lang w:val="en-US"/>
        </w:rPr>
      </w:pPr>
      <w:r w:rsidRPr="00FE762B">
        <w:rPr>
          <w:rFonts w:ascii="Times New Roman" w:eastAsia="TimesNewRomanPSMT" w:hAnsi="Times New Roman" w:cs="Times New Roman"/>
          <w:bCs/>
          <w:lang w:val="en-US"/>
        </w:rPr>
        <w:lastRenderedPageBreak/>
        <w:t xml:space="preserve">                          </w:t>
      </w:r>
      <w:proofErr w:type="spellStart"/>
      <w:proofErr w:type="gramStart"/>
      <w:r w:rsidRPr="00FE762B">
        <w:rPr>
          <w:rFonts w:ascii="Times New Roman" w:eastAsia="TimesNewRomanPSMT" w:hAnsi="Times New Roman" w:cs="Times New Roman"/>
          <w:bCs/>
          <w:lang w:val="en-US"/>
        </w:rPr>
        <w:t>Anexa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nr.</w:t>
      </w:r>
      <w:proofErr w:type="gram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</w:t>
      </w:r>
      <w:proofErr w:type="gramStart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3                                                                                                                                        la </w:t>
      </w:r>
      <w:proofErr w:type="spellStart"/>
      <w:r w:rsidRPr="00FE762B">
        <w:rPr>
          <w:rFonts w:ascii="Times New Roman" w:eastAsia="TimesNewRomanPSMT" w:hAnsi="Times New Roman" w:cs="Times New Roman"/>
          <w:bCs/>
          <w:lang w:val="en-US"/>
        </w:rPr>
        <w:t>decizia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Cs/>
          <w:lang w:val="en-US"/>
        </w:rPr>
        <w:t>Consiliului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Cs/>
          <w:lang w:val="en-US"/>
        </w:rPr>
        <w:t>comunal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</w:t>
      </w:r>
      <w:proofErr w:type="spellStart"/>
      <w:r w:rsidRPr="00FE762B">
        <w:rPr>
          <w:rFonts w:ascii="Times New Roman" w:eastAsia="TimesNewRomanPSMT" w:hAnsi="Times New Roman" w:cs="Times New Roman"/>
          <w:bCs/>
          <w:lang w:val="en-US"/>
        </w:rPr>
        <w:t>Văscăuți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nr.</w:t>
      </w:r>
      <w:proofErr w:type="gram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01/01 din 16 </w:t>
      </w:r>
      <w:proofErr w:type="spellStart"/>
      <w:proofErr w:type="gramStart"/>
      <w:r w:rsidRPr="00FE762B">
        <w:rPr>
          <w:rFonts w:ascii="Times New Roman" w:eastAsia="TimesNewRomanPSMT" w:hAnsi="Times New Roman" w:cs="Times New Roman"/>
          <w:bCs/>
          <w:lang w:val="en-US"/>
        </w:rPr>
        <w:t>ianuarie</w:t>
      </w:r>
      <w:proofErr w:type="spellEnd"/>
      <w:r w:rsidRPr="00FE762B">
        <w:rPr>
          <w:rFonts w:ascii="Times New Roman" w:eastAsia="TimesNewRomanPSMT" w:hAnsi="Times New Roman" w:cs="Times New Roman"/>
          <w:bCs/>
          <w:lang w:val="en-US"/>
        </w:rPr>
        <w:t xml:space="preserve">  2020</w:t>
      </w:r>
      <w:proofErr w:type="gramEnd"/>
    </w:p>
    <w:p w:rsidR="00A859DE" w:rsidRPr="00DA38AF" w:rsidRDefault="00A859DE" w:rsidP="00A859DE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Resursele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şi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cheltuielile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bugetului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comunei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Văscăuţi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conform                                                            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clasificației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funcționale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și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programe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pe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>anul</w:t>
      </w:r>
      <w:proofErr w:type="spellEnd"/>
      <w:r w:rsidRPr="00C8101B"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  <w:t xml:space="preserve"> 2020</w:t>
      </w:r>
    </w:p>
    <w:tbl>
      <w:tblPr>
        <w:tblStyle w:val="a5"/>
        <w:tblW w:w="9923" w:type="dxa"/>
        <w:tblInd w:w="-459" w:type="dxa"/>
        <w:tblLook w:val="04A0" w:firstRow="1" w:lastRow="0" w:firstColumn="1" w:lastColumn="0" w:noHBand="0" w:noVBand="1"/>
      </w:tblPr>
      <w:tblGrid>
        <w:gridCol w:w="3797"/>
        <w:gridCol w:w="1262"/>
        <w:gridCol w:w="1066"/>
        <w:gridCol w:w="1234"/>
        <w:gridCol w:w="6"/>
        <w:gridCol w:w="1293"/>
        <w:gridCol w:w="1265"/>
      </w:tblGrid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923280" w:rsidRDefault="00A859DE" w:rsidP="00F911D3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Denumirea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  <w:hideMark/>
          </w:tcPr>
          <w:p w:rsidR="00A859DE" w:rsidRPr="00923280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       Cod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923280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Aprobat</w:t>
            </w:r>
            <w:proofErr w:type="spellEnd"/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,</w:t>
            </w:r>
          </w:p>
          <w:p w:rsidR="00A859DE" w:rsidRPr="00923280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923280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mii lei</w:t>
            </w:r>
          </w:p>
          <w:p w:rsidR="00A859DE" w:rsidRPr="00923280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Decizia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nr</w:t>
            </w:r>
            <w:proofErr w:type="gram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. 01/01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din 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9CCFF"/>
          </w:tcPr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Modificat</w:t>
            </w:r>
            <w:proofErr w:type="spellEnd"/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Majorat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+</w:t>
            </w: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Micșorat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-</w:t>
            </w:r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FF"/>
          </w:tcPr>
          <w:p w:rsidR="00A859DE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  <w:p w:rsidR="00A859DE" w:rsidRPr="00DA38AF" w:rsidRDefault="00A859DE" w:rsidP="00F911D3">
            <w:pPr>
              <w:ind w:firstLine="0"/>
              <w:jc w:val="center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Buget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corelat</w:t>
            </w:r>
            <w:proofErr w:type="spellEnd"/>
          </w:p>
          <w:p w:rsidR="00A859DE" w:rsidRPr="00DA38AF" w:rsidRDefault="00A859DE" w:rsidP="00F911D3">
            <w:pPr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rPr>
          <w:trHeight w:val="60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recurente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,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(2+3)-3192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2304,4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2416,4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personal,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21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1549,6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Investiţii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capitale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3192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de stat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destinatie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generală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01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generale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autorităţi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instituţii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bugetare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0,3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, total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833,1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Gestionarea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fondului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rezerva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0802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</w:tr>
      <w:tr w:rsidR="00A859DE" w:rsidRPr="00DA38AF" w:rsidTr="00F911D3">
        <w:trPr>
          <w:trHeight w:val="45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Activitatea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consiliilor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locale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54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0102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4,5</w:t>
            </w:r>
          </w:p>
        </w:tc>
      </w:tr>
      <w:tr w:rsidR="00A859DE" w:rsidRPr="00DA38AF" w:rsidTr="00F911D3">
        <w:trPr>
          <w:trHeight w:val="45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Exercitarea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guvernarii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0301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818,6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în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domeniul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bCs/>
                <w:i/>
                <w:iCs/>
                <w:color w:val="000000" w:themeColor="text1"/>
                <w:lang w:val="en-US"/>
              </w:rPr>
              <w:t>economiei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04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autorităţi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instituţii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-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rPr>
          <w:trHeight w:val="383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Transport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rutier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6402</w:t>
            </w:r>
          </w:p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Infrastructura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drumurilor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6402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116,8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Gospodaria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locuinte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gospodaria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i/>
                <w:iCs/>
                <w:color w:val="000000" w:themeColor="text1"/>
                <w:lang w:val="en-US"/>
              </w:rPr>
              <w:t>06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A859D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A859D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A859D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A859D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TimesNewRomanPSMT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142,0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254,0</w:t>
            </w:r>
          </w:p>
        </w:tc>
      </w:tr>
      <w:tr w:rsidR="00A859DE" w:rsidRPr="00DA38AF" w:rsidTr="00F911D3">
        <w:trPr>
          <w:trHeight w:val="334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Dezvoltarea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gospodăriei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locuințe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și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serviciilor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comunale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10,0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Aprovizionarea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cu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apa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  <w:tc>
          <w:tcPr>
            <w:tcW w:w="125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62,0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Iluminarea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stradala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7505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182,0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+112,0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182,0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lastRenderedPageBreak/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Cultura,sport,tineret,culte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si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odihna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A859DE" w:rsidRPr="00DA38AF" w:rsidTr="00F911D3">
        <w:trPr>
          <w:trHeight w:val="196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Dezvoltarea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culturii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8502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415,3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Invatamint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color w:val="000000" w:themeColor="text1"/>
                <w:lang w:val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697,8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colectate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autoritati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/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institutii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bugetare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297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39,4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,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Educatie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timpurie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8802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737,2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Protecție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socială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Resurse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generale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Cheltuieli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total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  <w:tr w:rsidR="00A859DE" w:rsidRPr="00DA38AF" w:rsidTr="00F911D3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Alte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servicii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de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protecție</w:t>
            </w:r>
            <w:proofErr w:type="spellEnd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socială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color w:val="000000" w:themeColor="text1"/>
                <w:lang w:val="en-US"/>
              </w:rPr>
              <w:t>9019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 w:rsidRPr="00DA38AF"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59DE" w:rsidRPr="00DA38AF" w:rsidRDefault="00A859DE" w:rsidP="00F911D3">
            <w:pPr>
              <w:autoSpaceDE w:val="0"/>
              <w:autoSpaceDN w:val="0"/>
              <w:adjustRightInd w:val="0"/>
              <w:ind w:firstLine="0"/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b/>
                <w:bCs/>
                <w:color w:val="000000" w:themeColor="text1"/>
                <w:lang w:val="en-US"/>
              </w:rPr>
              <w:t>60,0</w:t>
            </w:r>
          </w:p>
        </w:tc>
      </w:tr>
    </w:tbl>
    <w:p w:rsidR="00A859DE" w:rsidRPr="00DA38AF" w:rsidRDefault="00A859DE" w:rsidP="00A859DE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DA38AF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DA38AF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lang w:val="en-US"/>
        </w:rPr>
      </w:pPr>
    </w:p>
    <w:p w:rsidR="00A859DE" w:rsidRPr="00C8101B" w:rsidRDefault="00A859DE" w:rsidP="00A859DE">
      <w:pPr>
        <w:autoSpaceDE w:val="0"/>
        <w:autoSpaceDN w:val="0"/>
        <w:adjustRightInd w:val="0"/>
        <w:ind w:firstLine="0"/>
        <w:jc w:val="both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Secretar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al </w:t>
      </w:r>
      <w:proofErr w:type="spellStart"/>
      <w:proofErr w:type="gram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Consiliului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comunal</w:t>
      </w:r>
      <w:proofErr w:type="spellEnd"/>
      <w:proofErr w:type="gram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                                                    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Barbă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</w:t>
      </w:r>
      <w:proofErr w:type="spellStart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>Zinaida</w:t>
      </w:r>
      <w:proofErr w:type="spellEnd"/>
      <w:r w:rsidRPr="00C8101B">
        <w:rPr>
          <w:rFonts w:ascii="Times New Roman" w:eastAsia="TimesNewRomanPSMT" w:hAnsi="Times New Roman" w:cs="Times New Roman"/>
          <w:bCs/>
          <w:color w:val="000000" w:themeColor="text1"/>
          <w:lang w:val="en-US"/>
        </w:rPr>
        <w:t xml:space="preserve">              </w:t>
      </w:r>
    </w:p>
    <w:p w:rsidR="00A859DE" w:rsidRPr="00C8101B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</w:p>
    <w:p w:rsidR="00A859DE" w:rsidRPr="00C8101B" w:rsidRDefault="00A859DE" w:rsidP="00A859DE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Cs/>
          <w:color w:val="000000" w:themeColor="text1"/>
          <w:lang w:val="en-US"/>
        </w:rPr>
      </w:pPr>
    </w:p>
    <w:p w:rsidR="00A859DE" w:rsidRPr="00DA38AF" w:rsidRDefault="00A859DE" w:rsidP="00A859DE">
      <w:pPr>
        <w:rPr>
          <w:lang w:val="en-US"/>
        </w:rPr>
      </w:pPr>
    </w:p>
    <w:p w:rsidR="00A859DE" w:rsidRPr="00A859DE" w:rsidRDefault="00A859DE" w:rsidP="008E0195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859DE" w:rsidRPr="00A859DE" w:rsidSect="008E01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77664"/>
    <w:multiLevelType w:val="hybridMultilevel"/>
    <w:tmpl w:val="0C4C453C"/>
    <w:lvl w:ilvl="0" w:tplc="16181342">
      <w:start w:val="4"/>
      <w:numFmt w:val="bullet"/>
      <w:lvlText w:val="-"/>
      <w:lvlJc w:val="left"/>
      <w:pPr>
        <w:ind w:left="420" w:hanging="360"/>
      </w:pPr>
      <w:rPr>
        <w:rFonts w:ascii="Times New Roman" w:eastAsia="TimesNewRomanPSM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E213E8D"/>
    <w:multiLevelType w:val="multilevel"/>
    <w:tmpl w:val="F5068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95"/>
    <w:rsid w:val="000C3E95"/>
    <w:rsid w:val="001C0D1B"/>
    <w:rsid w:val="003E482C"/>
    <w:rsid w:val="007405B8"/>
    <w:rsid w:val="008E0195"/>
    <w:rsid w:val="00A859DE"/>
    <w:rsid w:val="00C149C4"/>
    <w:rsid w:val="00C15889"/>
    <w:rsid w:val="00C220DB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95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E9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0C3E95"/>
    <w:pPr>
      <w:spacing w:after="0" w:line="240" w:lineRule="auto"/>
    </w:pPr>
  </w:style>
  <w:style w:type="table" w:styleId="a5">
    <w:name w:val="Table Grid"/>
    <w:basedOn w:val="a1"/>
    <w:uiPriority w:val="59"/>
    <w:rsid w:val="00A85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95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E9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0C3E95"/>
    <w:pPr>
      <w:spacing w:after="0" w:line="240" w:lineRule="auto"/>
    </w:pPr>
  </w:style>
  <w:style w:type="table" w:styleId="a5">
    <w:name w:val="Table Grid"/>
    <w:basedOn w:val="a1"/>
    <w:uiPriority w:val="59"/>
    <w:rsid w:val="00A85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2020-01-16T12:50:00Z</cp:lastPrinted>
  <dcterms:created xsi:type="dcterms:W3CDTF">2020-01-13T07:26:00Z</dcterms:created>
  <dcterms:modified xsi:type="dcterms:W3CDTF">2020-01-17T08:38:00Z</dcterms:modified>
</cp:coreProperties>
</file>