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BA" w:rsidRPr="005D1BF0" w:rsidRDefault="003A7FBA">
      <w:pPr>
        <w:rPr>
          <w:color w:val="365F91" w:themeColor="accent1" w:themeShade="BF"/>
        </w:rPr>
      </w:pPr>
    </w:p>
    <w:p w:rsidR="00915ACD" w:rsidRPr="005D1BF0" w:rsidRDefault="00525CD8" w:rsidP="00915ACD">
      <w:pPr>
        <w:rPr>
          <w:b/>
          <w:bCs/>
          <w:color w:val="365F91" w:themeColor="accent1" w:themeShade="BF"/>
        </w:rPr>
      </w:pPr>
      <w:r>
        <w:rPr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481356408" r:id="rId7"/>
        </w:pict>
      </w:r>
      <w:r w:rsidR="00915ACD" w:rsidRPr="005D1BF0">
        <w:rPr>
          <w:b/>
          <w:bCs/>
          <w:color w:val="365F91" w:themeColor="accent1" w:themeShade="BF"/>
        </w:rPr>
        <w:t xml:space="preserve"> REPUBLICA MOLDOVA</w:t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</w:r>
      <w:r w:rsidR="00915ACD" w:rsidRPr="005D1BF0">
        <w:rPr>
          <w:b/>
          <w:bCs/>
          <w:color w:val="365F91" w:themeColor="accent1" w:themeShade="BF"/>
        </w:rPr>
        <w:tab/>
        <w:t xml:space="preserve">       РЕСПУБЛИКА МОЛДОВА                                                                                         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 PRIMĂRIA  LUNGA</w:t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</w:r>
      <w:r w:rsidRPr="005D1BF0">
        <w:rPr>
          <w:b/>
          <w:bCs/>
          <w:color w:val="365F91" w:themeColor="accent1" w:themeShade="BF"/>
        </w:rPr>
        <w:tab/>
        <w:t xml:space="preserve">           </w:t>
      </w:r>
      <w:r w:rsidRPr="005D1BF0">
        <w:rPr>
          <w:b/>
          <w:bCs/>
          <w:color w:val="365F91" w:themeColor="accent1" w:themeShade="BF"/>
        </w:rPr>
        <w:tab/>
        <w:t xml:space="preserve">             ПРИМАРИЯ</w:t>
      </w:r>
      <w:r w:rsidRPr="005D1BF0">
        <w:rPr>
          <w:b/>
          <w:bCs/>
          <w:color w:val="365F91" w:themeColor="accent1" w:themeShade="BF"/>
          <w:lang w:val="en-US"/>
        </w:rPr>
        <w:t xml:space="preserve"> </w:t>
      </w:r>
      <w:r w:rsidRPr="005D1BF0">
        <w:rPr>
          <w:b/>
          <w:bCs/>
          <w:color w:val="365F91" w:themeColor="accent1" w:themeShade="BF"/>
        </w:rPr>
        <w:t xml:space="preserve">ЛУНГА   </w:t>
      </w:r>
    </w:p>
    <w:p w:rsidR="00915ACD" w:rsidRPr="005D1BF0" w:rsidRDefault="00915ACD" w:rsidP="00915ACD">
      <w:pPr>
        <w:rPr>
          <w:b/>
          <w:bCs/>
          <w:color w:val="365F91" w:themeColor="accent1" w:themeShade="BF"/>
        </w:rPr>
      </w:pPr>
      <w:r w:rsidRPr="005D1BF0">
        <w:rPr>
          <w:b/>
          <w:bCs/>
          <w:color w:val="365F91" w:themeColor="accent1" w:themeShade="BF"/>
        </w:rPr>
        <w:t xml:space="preserve">           </w:t>
      </w:r>
    </w:p>
    <w:p w:rsidR="00915ACD" w:rsidRPr="005D1BF0" w:rsidRDefault="00915ACD" w:rsidP="00915ACD">
      <w:pPr>
        <w:pBdr>
          <w:bottom w:val="single" w:sz="12" w:space="1" w:color="auto"/>
        </w:pBdr>
        <w:rPr>
          <w:b/>
          <w:bCs/>
          <w:color w:val="365F91" w:themeColor="accent1" w:themeShade="BF"/>
        </w:rPr>
      </w:pPr>
    </w:p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525CD8" w:rsidP="00525CD8">
      <w:pPr>
        <w:jc w:val="center"/>
        <w:rPr>
          <w:color w:val="365F91" w:themeColor="accent1" w:themeShade="BF"/>
        </w:rPr>
      </w:pPr>
      <w:bookmarkStart w:id="0" w:name="_GoBack"/>
      <w:r>
        <w:rPr>
          <w:color w:val="365F91" w:themeColor="accent1" w:themeShade="BF"/>
        </w:rPr>
        <w:t xml:space="preserve">D I S P O Z I Ţ I A </w:t>
      </w:r>
      <w:r w:rsidR="00915ACD" w:rsidRPr="005D1BF0">
        <w:rPr>
          <w:color w:val="365F91" w:themeColor="accent1" w:themeShade="BF"/>
        </w:rPr>
        <w:t>„  31 ”  ianuarie 2014</w:t>
      </w:r>
      <w:r>
        <w:rPr>
          <w:color w:val="365F91" w:themeColor="accent1" w:themeShade="BF"/>
        </w:rPr>
        <w:t xml:space="preserve"> </w:t>
      </w:r>
      <w:r w:rsidR="00915ACD" w:rsidRPr="005D1BF0">
        <w:rPr>
          <w:color w:val="365F91" w:themeColor="accent1" w:themeShade="BF"/>
        </w:rPr>
        <w:t>Nr  2</w:t>
      </w:r>
    </w:p>
    <w:bookmarkEnd w:id="0"/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915ACD" w:rsidP="00915ACD">
      <w:pPr>
        <w:rPr>
          <w:color w:val="365F91" w:themeColor="accent1" w:themeShade="BF"/>
        </w:rPr>
      </w:pPr>
    </w:p>
    <w:p w:rsidR="00915ACD" w:rsidRPr="005D1BF0" w:rsidRDefault="00915ACD" w:rsidP="00915ACD">
      <w:pPr>
        <w:spacing w:line="360" w:lineRule="auto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ab/>
        <w:t xml:space="preserve">Cu privire la instituirea comisiei în scopul intensificării </w:t>
      </w:r>
    </w:p>
    <w:p w:rsidR="00915ACD" w:rsidRPr="005D1BF0" w:rsidRDefault="00915ACD" w:rsidP="00915ACD">
      <w:pPr>
        <w:spacing w:line="360" w:lineRule="auto"/>
        <w:ind w:firstLine="708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>în sectorul locativ a activității de prevenire a incendiilor</w:t>
      </w:r>
    </w:p>
    <w:p w:rsidR="00915ACD" w:rsidRPr="005D1BF0" w:rsidRDefault="00915ACD" w:rsidP="00915ACD">
      <w:pPr>
        <w:ind w:left="180" w:firstLine="1134"/>
        <w:jc w:val="both"/>
        <w:rPr>
          <w:color w:val="365F91" w:themeColor="accent1" w:themeShade="BF"/>
          <w:sz w:val="28"/>
          <w:szCs w:val="28"/>
        </w:rPr>
      </w:pPr>
    </w:p>
    <w:p w:rsidR="003E2DC6" w:rsidRPr="005D1BF0" w:rsidRDefault="003E2DC6" w:rsidP="003E2DC6">
      <w:pPr>
        <w:spacing w:line="360" w:lineRule="auto"/>
        <w:ind w:firstLine="708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Î</w:t>
      </w:r>
      <w:r w:rsidR="00915ACD" w:rsidRPr="005D1BF0">
        <w:rPr>
          <w:color w:val="365F91" w:themeColor="accent1" w:themeShade="BF"/>
        </w:rPr>
        <w:t xml:space="preserve">n temeiul </w:t>
      </w:r>
      <w:r w:rsidRPr="005D1BF0">
        <w:rPr>
          <w:color w:val="365F91" w:themeColor="accent1" w:themeShade="BF"/>
        </w:rPr>
        <w:t>art. 112 din Constituţia Republicii Moldova, adoptată la data de 29 iulie 1994,</w:t>
      </w:r>
      <w:r w:rsidR="00915ACD" w:rsidRPr="005D1BF0">
        <w:rPr>
          <w:color w:val="365F91" w:themeColor="accent1" w:themeShade="BF"/>
        </w:rPr>
        <w:t xml:space="preserve">art.10, </w:t>
      </w:r>
      <w:r w:rsidR="00915ACD" w:rsidRPr="005D1BF0">
        <w:rPr>
          <w:rFonts w:eastAsia="MS Mincho"/>
          <w:color w:val="365F91" w:themeColor="accent1" w:themeShade="BF"/>
          <w:lang w:eastAsia="ja-JP"/>
        </w:rPr>
        <w:t>lit. b), c)</w:t>
      </w:r>
      <w:r w:rsidR="00915ACD" w:rsidRPr="005D1BF0">
        <w:rPr>
          <w:color w:val="365F91" w:themeColor="accent1" w:themeShade="BF"/>
        </w:rPr>
        <w:t xml:space="preserve"> al Legii Apărării Împotriva Incendiilor nr.267-XIII din 09.11.1994, Legii nr. 436 din 28.12.2006 privind administraţia publică locală art. 29, alin.1, lit. x)</w:t>
      </w:r>
      <w:r w:rsidRPr="005D1BF0">
        <w:rPr>
          <w:color w:val="365F91" w:themeColor="accent1" w:themeShade="BF"/>
        </w:rPr>
        <w:t>, art. 13 (1), art.78 al Legii Republicii  Moldova privind actele normative ale Guvernului şi ale altor  autorităţi publice centrale şi locale, nr.317-XV  din  18.07.2003, emit următoarea</w:t>
      </w:r>
    </w:p>
    <w:p w:rsidR="003E2DC6" w:rsidRPr="005D1BF0" w:rsidRDefault="003E2DC6" w:rsidP="002D5C36">
      <w:pPr>
        <w:spacing w:line="360" w:lineRule="auto"/>
        <w:jc w:val="center"/>
        <w:rPr>
          <w:i/>
          <w:color w:val="365F91" w:themeColor="accent1" w:themeShade="BF"/>
        </w:rPr>
      </w:pPr>
      <w:r w:rsidRPr="005D1BF0">
        <w:rPr>
          <w:i/>
          <w:color w:val="365F91" w:themeColor="accent1" w:themeShade="BF"/>
        </w:rPr>
        <w:t>D I S P O Z I Ţ I E: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1. În scopul prevenirii incendiilor în sectorul locativ în perioada rece a anului 2014 se instituie comisia în următoarea componență: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Cernei Ecatrin</w:t>
      </w:r>
      <w:r w:rsidR="005D1BF0">
        <w:rPr>
          <w:color w:val="365F91" w:themeColor="accent1" w:themeShade="BF"/>
        </w:rPr>
        <w:t>a</w:t>
      </w:r>
      <w:r w:rsidRPr="005D1BF0">
        <w:rPr>
          <w:color w:val="365F91" w:themeColor="accent1" w:themeShade="BF"/>
        </w:rPr>
        <w:t xml:space="preserve"> – secretarul comisiei Situații excepționale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Neamțu Marina – asistent social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>Leancă Eduard - șef de post</w:t>
      </w:r>
    </w:p>
    <w:p w:rsidR="00915ACD" w:rsidRPr="005D1BF0" w:rsidRDefault="003E2DC6" w:rsidP="002D5C36">
      <w:pPr>
        <w:spacing w:line="360" w:lineRule="auto"/>
        <w:ind w:firstLine="708"/>
        <w:jc w:val="both"/>
        <w:rPr>
          <w:rStyle w:val="FontStyle19"/>
          <w:color w:val="365F91" w:themeColor="accent1" w:themeShade="BF"/>
          <w:sz w:val="24"/>
          <w:szCs w:val="24"/>
          <w:lang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2. Susnumita comisie va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desfăşurar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contro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lul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tematic a fondului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locativ prioritar la persoanele cu vîrstă înaintată şi singuratice, 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 celor cu mulți copii din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categori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a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vulnerabilă.</w:t>
      </w:r>
    </w:p>
    <w:p w:rsidR="003E2DC6" w:rsidRPr="005D1BF0" w:rsidRDefault="003E2DC6" w:rsidP="002D5C36">
      <w:pPr>
        <w:spacing w:line="360" w:lineRule="auto"/>
        <w:ind w:firstLine="708"/>
        <w:jc w:val="both"/>
        <w:rPr>
          <w:rStyle w:val="FontStyle19"/>
          <w:color w:val="365F91" w:themeColor="accent1" w:themeShade="BF"/>
          <w:sz w:val="24"/>
          <w:szCs w:val="24"/>
          <w:lang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3. Comisia va instrui și înmîna Instrucțiun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i</w:t>
      </w:r>
      <w:r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 xml:space="preserve">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eastAsia="ro-RO"/>
        </w:rPr>
        <w:t>de Apărare Împotriva Incendiilor și prescripții-tip sub semnătură.</w:t>
      </w:r>
    </w:p>
    <w:p w:rsidR="00915ACD" w:rsidRPr="005D1BF0" w:rsidRDefault="00915ACD" w:rsidP="002D5C36">
      <w:pPr>
        <w:pStyle w:val="Style15"/>
        <w:widowControl/>
        <w:tabs>
          <w:tab w:val="left" w:pos="1027"/>
        </w:tabs>
        <w:spacing w:before="5" w:line="360" w:lineRule="auto"/>
        <w:ind w:firstLine="0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          4.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A afişa în locuri publice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pe panoul informativ al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primări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ei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, ofici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ul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poştal, 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magazine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Regul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le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de Apărare Împotriva Incendiilor  în sectorul locativ</w:t>
      </w:r>
      <w:r w:rsidR="005678F8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.</w:t>
      </w:r>
    </w:p>
    <w:p w:rsidR="005678F8" w:rsidRPr="005D1BF0" w:rsidRDefault="005678F8" w:rsidP="002D5C36">
      <w:pPr>
        <w:pStyle w:val="Style15"/>
        <w:widowControl/>
        <w:tabs>
          <w:tab w:val="left" w:pos="1027"/>
        </w:tabs>
        <w:spacing w:before="5" w:line="360" w:lineRule="auto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5. Grupa de stingere a incendiilor să fie pregătită ca în orice moment să intervină în caz de necesitate.</w:t>
      </w:r>
    </w:p>
    <w:p w:rsidR="00915ACD" w:rsidRPr="005D1BF0" w:rsidRDefault="005678F8" w:rsidP="002D5C36">
      <w:pPr>
        <w:pStyle w:val="Style15"/>
        <w:widowControl/>
        <w:tabs>
          <w:tab w:val="left" w:pos="1027"/>
        </w:tabs>
        <w:spacing w:before="5" w:line="360" w:lineRule="auto"/>
        <w:rPr>
          <w:rStyle w:val="FontStyle19"/>
          <w:color w:val="365F91" w:themeColor="accent1" w:themeShade="BF"/>
          <w:sz w:val="24"/>
          <w:szCs w:val="24"/>
          <w:lang w:val="ro-RO" w:eastAsia="ro-RO"/>
        </w:rPr>
      </w:pP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6. Dl Fetescu Iurie, administratorul SRL” Fet-Agro”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să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 prev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adă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>obligatoriu o unitate de tehnică agricolă (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un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tractor cu cisternă) pentru localizarea primară a incendiilor, </w:t>
      </w:r>
      <w:r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în caz de necesitate, </w:t>
      </w:r>
      <w:r w:rsidR="00915ACD" w:rsidRPr="005D1BF0">
        <w:rPr>
          <w:rStyle w:val="FontStyle19"/>
          <w:color w:val="365F91" w:themeColor="accent1" w:themeShade="BF"/>
          <w:sz w:val="24"/>
          <w:szCs w:val="24"/>
          <w:lang w:val="ro-RO" w:eastAsia="ro-RO"/>
        </w:rPr>
        <w:t xml:space="preserve">pînă la sosirea tehnicii speciale din cadrul Secţiei SE Floreşti. </w:t>
      </w:r>
    </w:p>
    <w:p w:rsidR="005678F8" w:rsidRPr="005D1BF0" w:rsidRDefault="005678F8" w:rsidP="002D5C36">
      <w:pPr>
        <w:spacing w:line="360" w:lineRule="auto"/>
        <w:rPr>
          <w:color w:val="365F91" w:themeColor="accent1" w:themeShade="BF"/>
        </w:rPr>
      </w:pPr>
    </w:p>
    <w:p w:rsidR="005678F8" w:rsidRPr="005D1BF0" w:rsidRDefault="005678F8" w:rsidP="00915ACD">
      <w:pPr>
        <w:rPr>
          <w:color w:val="365F91" w:themeColor="accent1" w:themeShade="BF"/>
        </w:rPr>
      </w:pPr>
      <w:r w:rsidRPr="005D1BF0">
        <w:rPr>
          <w:color w:val="365F91" w:themeColor="accent1" w:themeShade="BF"/>
        </w:rPr>
        <w:tab/>
        <w:t>Primar</w:t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</w:r>
      <w:r w:rsidRPr="005D1BF0">
        <w:rPr>
          <w:color w:val="365F91" w:themeColor="accent1" w:themeShade="BF"/>
        </w:rPr>
        <w:tab/>
        <w:t>Galina Burduja</w:t>
      </w:r>
    </w:p>
    <w:p w:rsidR="00915ACD" w:rsidRPr="005D1BF0" w:rsidRDefault="00915ACD" w:rsidP="00915ACD">
      <w:pPr>
        <w:rPr>
          <w:b/>
          <w:color w:val="365F91" w:themeColor="accent1" w:themeShade="BF"/>
        </w:rPr>
      </w:pPr>
    </w:p>
    <w:p w:rsidR="00915ACD" w:rsidRPr="005D1BF0" w:rsidRDefault="00915ACD">
      <w:pPr>
        <w:rPr>
          <w:color w:val="365F91" w:themeColor="accent1" w:themeShade="BF"/>
        </w:rPr>
      </w:pPr>
    </w:p>
    <w:sectPr w:rsidR="00915ACD" w:rsidRPr="005D1BF0" w:rsidSect="003A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0A9"/>
    <w:multiLevelType w:val="hybridMultilevel"/>
    <w:tmpl w:val="BD14219E"/>
    <w:lvl w:ilvl="0" w:tplc="E68C1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CC5237"/>
    <w:multiLevelType w:val="hybridMultilevel"/>
    <w:tmpl w:val="CF2EB988"/>
    <w:lvl w:ilvl="0" w:tplc="C0E4829A">
      <w:start w:val="1"/>
      <w:numFmt w:val="decimal"/>
      <w:lvlText w:val="%1."/>
      <w:lvlJc w:val="left"/>
      <w:pPr>
        <w:ind w:left="16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5ACD"/>
    <w:rsid w:val="002D5C36"/>
    <w:rsid w:val="003A7FBA"/>
    <w:rsid w:val="003E2DC6"/>
    <w:rsid w:val="00525CD8"/>
    <w:rsid w:val="005678F8"/>
    <w:rsid w:val="005D1BF0"/>
    <w:rsid w:val="00915ACD"/>
    <w:rsid w:val="00B17878"/>
    <w:rsid w:val="00C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rsid w:val="00915ACD"/>
    <w:pPr>
      <w:widowControl w:val="0"/>
      <w:autoSpaceDE w:val="0"/>
      <w:autoSpaceDN w:val="0"/>
      <w:adjustRightInd w:val="0"/>
      <w:spacing w:line="259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19">
    <w:name w:val="Font Style19"/>
    <w:basedOn w:val="DefaultParagraphFont"/>
    <w:rsid w:val="00915AC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cp:lastPrinted>2014-01-31T05:13:00Z</cp:lastPrinted>
  <dcterms:created xsi:type="dcterms:W3CDTF">2014-01-31T04:41:00Z</dcterms:created>
  <dcterms:modified xsi:type="dcterms:W3CDTF">2014-12-29T09:07:00Z</dcterms:modified>
</cp:coreProperties>
</file>