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B" w:rsidRDefault="00947BC0" w:rsidP="00936445">
      <w:pPr>
        <w:jc w:val="center"/>
        <w:rPr>
          <w:b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-146050</wp:posOffset>
            </wp:positionV>
            <wp:extent cx="748030" cy="902335"/>
            <wp:effectExtent l="19050" t="0" r="0" b="0"/>
            <wp:wrapNone/>
            <wp:docPr id="2" name="Imagine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Imagine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8AB">
        <w:rPr>
          <w:b/>
          <w:sz w:val="32"/>
          <w:szCs w:val="32"/>
          <w:lang w:val="ro-RO"/>
        </w:rPr>
        <w:t>REPUBLICA MOLDOVA</w:t>
      </w:r>
    </w:p>
    <w:p w:rsidR="000268AB" w:rsidRPr="00B748BD" w:rsidRDefault="000268AB" w:rsidP="00936445">
      <w:pPr>
        <w:jc w:val="center"/>
        <w:rPr>
          <w:b/>
          <w:sz w:val="16"/>
          <w:szCs w:val="16"/>
          <w:lang w:val="en-US"/>
        </w:rPr>
      </w:pPr>
    </w:p>
    <w:p w:rsidR="000268AB" w:rsidRDefault="000268AB" w:rsidP="00936445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CONSILIUL RAIONAL CIMIŞLIA</w:t>
      </w:r>
    </w:p>
    <w:p w:rsidR="000268AB" w:rsidRDefault="000268AB" w:rsidP="00936445">
      <w:pPr>
        <w:jc w:val="center"/>
        <w:rPr>
          <w:lang w:val="ro-RO" w:eastAsia="en-US"/>
        </w:rPr>
      </w:pPr>
    </w:p>
    <w:p w:rsidR="000268AB" w:rsidRDefault="00250C88" w:rsidP="00936445">
      <w:pPr>
        <w:jc w:val="center"/>
        <w:rPr>
          <w:rFonts w:ascii="Calibri" w:hAnsi="Calibri" w:cs="Mangal"/>
          <w:sz w:val="22"/>
          <w:lang w:bidi="sa-IN"/>
        </w:rPr>
      </w:pPr>
      <w:r w:rsidRPr="00250C88">
        <w:rPr>
          <w:rFonts w:ascii="Calibri" w:hAnsi="Calibri" w:cs="Mangal"/>
          <w:sz w:val="22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8" o:title="" grayscale="t" bilevel="t"/>
          </v:shape>
        </w:pict>
      </w:r>
    </w:p>
    <w:p w:rsidR="002106B1" w:rsidRPr="009C4CAF" w:rsidRDefault="002106B1" w:rsidP="002106B1">
      <w:pPr>
        <w:pStyle w:val="11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C6543">
        <w:rPr>
          <w:rFonts w:ascii="Times New Roman" w:hAnsi="Times New Roman" w:cs="Times New Roman"/>
          <w:b/>
          <w:sz w:val="32"/>
          <w:szCs w:val="32"/>
          <w:lang w:val="ro-RO"/>
        </w:rPr>
        <w:t>DECIZIE</w:t>
      </w:r>
    </w:p>
    <w:p w:rsidR="002106B1" w:rsidRPr="00427EF8" w:rsidRDefault="00F014D6" w:rsidP="00F014D6">
      <w:pPr>
        <w:pStyle w:val="3"/>
        <w:jc w:val="right"/>
        <w:rPr>
          <w:bCs w:val="0"/>
          <w:sz w:val="28"/>
          <w:szCs w:val="28"/>
          <w:lang w:val="en-US"/>
        </w:rPr>
      </w:pPr>
      <w:r w:rsidRPr="00427EF8">
        <w:rPr>
          <w:bCs w:val="0"/>
          <w:sz w:val="28"/>
          <w:szCs w:val="28"/>
          <w:lang w:val="en-US"/>
        </w:rPr>
        <w:t>PROIECT</w:t>
      </w:r>
    </w:p>
    <w:p w:rsidR="002106B1" w:rsidRDefault="008459C7" w:rsidP="002106B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2106B1" w:rsidRPr="006C6543">
        <w:rPr>
          <w:b/>
          <w:sz w:val="24"/>
          <w:szCs w:val="24"/>
          <w:lang w:val="ro-RO"/>
        </w:rPr>
        <w:t xml:space="preserve">in </w:t>
      </w:r>
      <w:r>
        <w:rPr>
          <w:b/>
          <w:sz w:val="24"/>
          <w:szCs w:val="24"/>
          <w:lang w:val="ro-RO"/>
        </w:rPr>
        <w:t>__</w:t>
      </w:r>
      <w:r w:rsidR="00C57E43">
        <w:rPr>
          <w:b/>
          <w:sz w:val="24"/>
          <w:szCs w:val="24"/>
          <w:lang w:val="ro-RO"/>
        </w:rPr>
        <w:t>22</w:t>
      </w:r>
      <w:r>
        <w:rPr>
          <w:b/>
          <w:sz w:val="24"/>
          <w:szCs w:val="24"/>
          <w:lang w:val="ro-RO"/>
        </w:rPr>
        <w:t xml:space="preserve"> iunie </w:t>
      </w:r>
      <w:r w:rsidR="00F014D6">
        <w:rPr>
          <w:b/>
          <w:sz w:val="24"/>
          <w:szCs w:val="24"/>
          <w:lang w:val="ro-RO"/>
        </w:rPr>
        <w:t>2018</w:t>
      </w:r>
      <w:r w:rsidR="000A484D">
        <w:rPr>
          <w:b/>
          <w:sz w:val="24"/>
          <w:szCs w:val="24"/>
          <w:lang w:val="ro-RO"/>
        </w:rPr>
        <w:tab/>
      </w:r>
      <w:r w:rsidR="000A484D">
        <w:rPr>
          <w:b/>
          <w:sz w:val="24"/>
          <w:szCs w:val="24"/>
          <w:lang w:val="ro-RO"/>
        </w:rPr>
        <w:tab/>
      </w:r>
      <w:r w:rsidR="000A484D">
        <w:rPr>
          <w:b/>
          <w:sz w:val="24"/>
          <w:szCs w:val="24"/>
          <w:lang w:val="ro-RO"/>
        </w:rPr>
        <w:tab/>
      </w:r>
      <w:r w:rsidR="009D6E13">
        <w:rPr>
          <w:b/>
          <w:sz w:val="24"/>
          <w:szCs w:val="24"/>
          <w:lang w:val="ro-RO"/>
        </w:rPr>
        <w:t xml:space="preserve">                                                                              </w:t>
      </w:r>
      <w:r w:rsidR="000A484D">
        <w:rPr>
          <w:b/>
          <w:sz w:val="24"/>
          <w:szCs w:val="24"/>
          <w:lang w:val="ro-RO"/>
        </w:rPr>
        <w:t>nr.03/15</w:t>
      </w:r>
      <w:r w:rsidR="005B60EF">
        <w:rPr>
          <w:b/>
          <w:sz w:val="24"/>
          <w:szCs w:val="24"/>
          <w:lang w:val="ro-RO"/>
        </w:rPr>
        <w:tab/>
      </w:r>
      <w:r w:rsidR="005B60EF">
        <w:rPr>
          <w:b/>
          <w:sz w:val="24"/>
          <w:szCs w:val="24"/>
          <w:lang w:val="ro-RO"/>
        </w:rPr>
        <w:tab/>
      </w:r>
    </w:p>
    <w:p w:rsidR="002106B1" w:rsidRDefault="002106B1" w:rsidP="002106B1">
      <w:pPr>
        <w:rPr>
          <w:b/>
          <w:sz w:val="24"/>
          <w:szCs w:val="24"/>
          <w:lang w:val="ro-RO"/>
        </w:rPr>
      </w:pPr>
    </w:p>
    <w:p w:rsidR="003B0E4F" w:rsidRPr="006C6543" w:rsidRDefault="003B0E4F" w:rsidP="002106B1">
      <w:pPr>
        <w:rPr>
          <w:b/>
          <w:sz w:val="24"/>
          <w:szCs w:val="24"/>
          <w:lang w:val="ro-RO"/>
        </w:rPr>
      </w:pPr>
    </w:p>
    <w:p w:rsidR="00020BBD" w:rsidRDefault="002106B1" w:rsidP="00473903">
      <w:pPr>
        <w:rPr>
          <w:rStyle w:val="docheader"/>
          <w:b/>
          <w:bCs/>
          <w:sz w:val="26"/>
          <w:szCs w:val="26"/>
          <w:lang w:val="en-US"/>
        </w:rPr>
      </w:pPr>
      <w:r w:rsidRPr="006C6543">
        <w:rPr>
          <w:b/>
          <w:sz w:val="26"/>
          <w:szCs w:val="26"/>
          <w:lang w:val="ro-RO"/>
        </w:rPr>
        <w:t xml:space="preserve">„Cu privire la </w:t>
      </w:r>
      <w:r w:rsidR="00C61412">
        <w:rPr>
          <w:rStyle w:val="docheader"/>
          <w:b/>
          <w:bCs/>
          <w:sz w:val="26"/>
          <w:szCs w:val="26"/>
          <w:lang w:val="ro-RO"/>
        </w:rPr>
        <w:t xml:space="preserve">casarea </w:t>
      </w:r>
      <w:proofErr w:type="spellStart"/>
      <w:r w:rsidR="00473903" w:rsidRPr="00473903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</w:p>
    <w:p w:rsidR="002106B1" w:rsidRPr="00C61412" w:rsidRDefault="00020BBD" w:rsidP="00473903">
      <w:pPr>
        <w:rPr>
          <w:b/>
          <w:bCs/>
          <w:sz w:val="26"/>
          <w:szCs w:val="26"/>
          <w:lang w:val="ro-RO"/>
        </w:rPr>
      </w:pPr>
      <w:proofErr w:type="gramStart"/>
      <w:r>
        <w:rPr>
          <w:rStyle w:val="docheader"/>
          <w:b/>
          <w:bCs/>
          <w:sz w:val="26"/>
          <w:szCs w:val="26"/>
          <w:lang w:val="en-US"/>
        </w:rPr>
        <w:t>f</w:t>
      </w:r>
      <w:r w:rsidR="000A484D">
        <w:rPr>
          <w:rStyle w:val="docheader"/>
          <w:b/>
          <w:bCs/>
          <w:sz w:val="26"/>
          <w:szCs w:val="26"/>
          <w:lang w:val="en-US"/>
        </w:rPr>
        <w:t>ixe</w:t>
      </w:r>
      <w:proofErr w:type="gramEnd"/>
      <w:r w:rsidR="000A484D">
        <w:rPr>
          <w:rStyle w:val="docheader"/>
          <w:b/>
          <w:bCs/>
          <w:sz w:val="26"/>
          <w:szCs w:val="26"/>
          <w:lang w:val="en-US"/>
        </w:rPr>
        <w:t xml:space="preserve"> a IMSP </w:t>
      </w:r>
      <w:proofErr w:type="spellStart"/>
      <w:r w:rsidR="000A484D">
        <w:rPr>
          <w:rStyle w:val="docheader"/>
          <w:b/>
          <w:bCs/>
          <w:sz w:val="26"/>
          <w:szCs w:val="26"/>
          <w:lang w:val="en-US"/>
        </w:rPr>
        <w:t>Spitalul</w:t>
      </w:r>
      <w:proofErr w:type="spellEnd"/>
      <w:r w:rsidR="009D6E13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0A484D">
        <w:rPr>
          <w:rStyle w:val="docheader"/>
          <w:b/>
          <w:bCs/>
          <w:sz w:val="26"/>
          <w:szCs w:val="26"/>
          <w:lang w:val="en-US"/>
        </w:rPr>
        <w:t>raional</w:t>
      </w:r>
      <w:proofErr w:type="spellEnd"/>
      <w:r w:rsidR="009D6E13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C34024">
        <w:rPr>
          <w:rStyle w:val="docheader"/>
          <w:b/>
          <w:bCs/>
          <w:sz w:val="26"/>
          <w:szCs w:val="26"/>
          <w:lang w:val="en-US"/>
        </w:rPr>
        <w:t>Cimi</w:t>
      </w:r>
      <w:proofErr w:type="spellEnd"/>
      <w:r w:rsidR="00C34024">
        <w:rPr>
          <w:rStyle w:val="docheader"/>
          <w:b/>
          <w:bCs/>
          <w:sz w:val="26"/>
          <w:szCs w:val="26"/>
          <w:lang w:val="ro-RO"/>
        </w:rPr>
        <w:t>șlia</w:t>
      </w:r>
      <w:r w:rsidR="00473903">
        <w:rPr>
          <w:rStyle w:val="docheader"/>
          <w:b/>
          <w:bCs/>
          <w:sz w:val="26"/>
          <w:szCs w:val="26"/>
          <w:lang w:val="en-US"/>
        </w:rPr>
        <w:t>,,</w:t>
      </w:r>
    </w:p>
    <w:p w:rsidR="00473903" w:rsidRPr="000A484D" w:rsidRDefault="00473903" w:rsidP="002106B1">
      <w:pPr>
        <w:spacing w:line="276" w:lineRule="auto"/>
        <w:jc w:val="both"/>
        <w:rPr>
          <w:sz w:val="24"/>
          <w:szCs w:val="24"/>
          <w:lang w:val="ro-RO"/>
        </w:rPr>
      </w:pPr>
    </w:p>
    <w:p w:rsidR="004C4EC5" w:rsidRDefault="00C61412" w:rsidP="00EF7F17">
      <w:pPr>
        <w:ind w:firstLine="851"/>
        <w:jc w:val="both"/>
        <w:rPr>
          <w:sz w:val="28"/>
          <w:szCs w:val="28"/>
          <w:lang w:val="ro-RO"/>
        </w:rPr>
      </w:pPr>
      <w:r w:rsidRPr="000A484D">
        <w:rPr>
          <w:sz w:val="24"/>
          <w:szCs w:val="24"/>
          <w:lang w:val="ro-RO"/>
        </w:rPr>
        <w:t xml:space="preserve">În temeiul art.43 alin.(1) lit. c) </w:t>
      </w:r>
      <w:r w:rsidR="002106B1" w:rsidRPr="000A484D">
        <w:rPr>
          <w:sz w:val="24"/>
          <w:szCs w:val="24"/>
          <w:lang w:val="ro-RO"/>
        </w:rPr>
        <w:t>din Legea nr.436-XVI din 28.12.2006</w:t>
      </w:r>
      <w:r w:rsidRPr="000A484D">
        <w:rPr>
          <w:sz w:val="24"/>
          <w:szCs w:val="24"/>
          <w:lang w:val="ro-RO"/>
        </w:rPr>
        <w:t>privind administraţia publică locală</w:t>
      </w:r>
      <w:r w:rsidR="00FB3956" w:rsidRPr="000A484D">
        <w:rPr>
          <w:sz w:val="24"/>
          <w:szCs w:val="24"/>
          <w:lang w:val="ro-RO"/>
        </w:rPr>
        <w:t xml:space="preserve">, cu modificările și completările ulterioare, </w:t>
      </w:r>
      <w:r w:rsidR="00176695" w:rsidRPr="000A484D">
        <w:rPr>
          <w:sz w:val="24"/>
          <w:szCs w:val="24"/>
          <w:lang w:val="ro-RO"/>
        </w:rPr>
        <w:t>Regulamentului privind casarea bunurilor uzate, raportate la mijloace fixe</w:t>
      </w:r>
      <w:r w:rsidR="00135A05" w:rsidRPr="000A484D">
        <w:rPr>
          <w:sz w:val="24"/>
          <w:szCs w:val="24"/>
          <w:lang w:val="ro-RO"/>
        </w:rPr>
        <w:t>,</w:t>
      </w:r>
      <w:r w:rsidR="00FB3956" w:rsidRPr="000A484D">
        <w:rPr>
          <w:sz w:val="24"/>
          <w:szCs w:val="24"/>
          <w:lang w:val="ro-RO"/>
        </w:rPr>
        <w:t xml:space="preserve">  aprobat prin Hotărîrea Guvernului nr.500 din 12.05.1998,</w:t>
      </w:r>
      <w:r w:rsidR="00EF78DD" w:rsidRPr="000A484D">
        <w:rPr>
          <w:sz w:val="24"/>
          <w:szCs w:val="24"/>
          <w:lang w:val="ro-RO"/>
        </w:rPr>
        <w:t xml:space="preserve"> prevederile Regulamentului Instituţiei Medico-S</w:t>
      </w:r>
      <w:r w:rsidR="00A22593" w:rsidRPr="000A484D">
        <w:rPr>
          <w:sz w:val="24"/>
          <w:szCs w:val="24"/>
          <w:lang w:val="ro-RO"/>
        </w:rPr>
        <w:t>anitare</w:t>
      </w:r>
      <w:r w:rsidR="00EF78DD" w:rsidRPr="000A484D">
        <w:rPr>
          <w:sz w:val="24"/>
          <w:szCs w:val="24"/>
          <w:lang w:val="ro-RO"/>
        </w:rPr>
        <w:t xml:space="preserve"> Publice Spitalul Raional Cimişlia aprobat prin decizia Consiliul Raional Cimişlia nr.05/16 din 26.10.2017, examinînd demersul</w:t>
      </w:r>
      <w:r w:rsidR="00C34024" w:rsidRPr="000A484D">
        <w:rPr>
          <w:sz w:val="24"/>
          <w:szCs w:val="24"/>
          <w:lang w:val="ro-RO"/>
        </w:rPr>
        <w:t xml:space="preserve"> IMSP Spitalul Raional Cimișlia </w:t>
      </w:r>
      <w:r w:rsidR="00FB3956" w:rsidRPr="000A484D">
        <w:rPr>
          <w:sz w:val="24"/>
          <w:szCs w:val="24"/>
          <w:lang w:val="ro-RO"/>
        </w:rPr>
        <w:t>privind permisiunea de casare</w:t>
      </w:r>
      <w:r w:rsidR="004C4EC5" w:rsidRPr="000A484D">
        <w:rPr>
          <w:sz w:val="24"/>
          <w:szCs w:val="24"/>
          <w:lang w:val="ro-RO"/>
        </w:rPr>
        <w:t xml:space="preserve">a </w:t>
      </w:r>
      <w:r w:rsidR="00FB3956" w:rsidRPr="000A484D">
        <w:rPr>
          <w:sz w:val="24"/>
          <w:szCs w:val="24"/>
          <w:lang w:val="ro-RO"/>
        </w:rPr>
        <w:t>unor mijloace fixe,</w:t>
      </w:r>
      <w:r w:rsidR="00EF78DD" w:rsidRPr="000A484D">
        <w:rPr>
          <w:sz w:val="24"/>
          <w:szCs w:val="24"/>
          <w:lang w:val="ro-RO"/>
        </w:rPr>
        <w:t xml:space="preserve"> procesele</w:t>
      </w:r>
      <w:r w:rsidR="005C2A93" w:rsidRPr="000A484D">
        <w:rPr>
          <w:sz w:val="24"/>
          <w:szCs w:val="24"/>
          <w:lang w:val="ro-RO"/>
        </w:rPr>
        <w:t xml:space="preserve"> verbal</w:t>
      </w:r>
      <w:r w:rsidR="00EF78DD" w:rsidRPr="000A484D">
        <w:rPr>
          <w:sz w:val="24"/>
          <w:szCs w:val="24"/>
          <w:lang w:val="ro-RO"/>
        </w:rPr>
        <w:t>e</w:t>
      </w:r>
      <w:r w:rsidR="00EF7F17" w:rsidRPr="000A484D">
        <w:rPr>
          <w:sz w:val="24"/>
          <w:szCs w:val="24"/>
          <w:lang w:val="ro-RO"/>
        </w:rPr>
        <w:t xml:space="preserve">privind inutilizarea și ineficiența reparației, precum și necesitatea casării mijloacelor fixe </w:t>
      </w:r>
      <w:r w:rsidR="005C2A93" w:rsidRPr="000A484D">
        <w:rPr>
          <w:sz w:val="24"/>
          <w:szCs w:val="24"/>
          <w:lang w:val="ro-RO"/>
        </w:rPr>
        <w:t>al  comisie</w:t>
      </w:r>
      <w:r w:rsidR="00F6206A" w:rsidRPr="000A484D">
        <w:rPr>
          <w:sz w:val="24"/>
          <w:szCs w:val="24"/>
          <w:lang w:val="ro-RO"/>
        </w:rPr>
        <w:t xml:space="preserve">i de inventariere a bunumirlor materiale </w:t>
      </w:r>
      <w:r w:rsidR="00EF78DD" w:rsidRPr="000A484D">
        <w:rPr>
          <w:sz w:val="24"/>
          <w:szCs w:val="24"/>
          <w:lang w:val="ro-RO"/>
        </w:rPr>
        <w:t>a IMSP SR Cimișlia</w:t>
      </w:r>
      <w:r w:rsidR="005C2A93" w:rsidRPr="000A484D">
        <w:rPr>
          <w:sz w:val="24"/>
          <w:szCs w:val="24"/>
          <w:lang w:val="ro-RO"/>
        </w:rPr>
        <w:t>, instituită prin ordinul nr.</w:t>
      </w:r>
      <w:r w:rsidR="00FA514A" w:rsidRPr="000A484D">
        <w:rPr>
          <w:sz w:val="24"/>
          <w:szCs w:val="24"/>
          <w:lang w:val="ro-RO"/>
        </w:rPr>
        <w:t>68 din 10.04.2018</w:t>
      </w:r>
      <w:r w:rsidR="00EF7F17" w:rsidRPr="000A484D">
        <w:rPr>
          <w:sz w:val="24"/>
          <w:szCs w:val="24"/>
          <w:lang w:val="ro-RO"/>
        </w:rPr>
        <w:t>,</w:t>
      </w:r>
      <w:r w:rsidR="00135A05" w:rsidRPr="000A484D">
        <w:rPr>
          <w:sz w:val="24"/>
          <w:szCs w:val="24"/>
          <w:lang w:val="ro-RO"/>
        </w:rPr>
        <w:t>Consiliul r</w:t>
      </w:r>
      <w:r w:rsidR="002106B1" w:rsidRPr="000A484D">
        <w:rPr>
          <w:sz w:val="24"/>
          <w:szCs w:val="24"/>
          <w:lang w:val="ro-RO"/>
        </w:rPr>
        <w:t>aional Cimişlia</w:t>
      </w:r>
    </w:p>
    <w:p w:rsidR="002106B1" w:rsidRPr="002106B1" w:rsidRDefault="002106B1" w:rsidP="004C4EC5">
      <w:pPr>
        <w:jc w:val="center"/>
        <w:rPr>
          <w:b/>
          <w:sz w:val="28"/>
          <w:szCs w:val="28"/>
          <w:lang w:val="en-US"/>
        </w:rPr>
      </w:pPr>
      <w:r w:rsidRPr="006C6543">
        <w:rPr>
          <w:b/>
          <w:sz w:val="28"/>
          <w:szCs w:val="28"/>
          <w:lang w:val="ro-RO"/>
        </w:rPr>
        <w:t>DECIDE</w:t>
      </w:r>
      <w:r w:rsidRPr="002106B1">
        <w:rPr>
          <w:b/>
          <w:sz w:val="28"/>
          <w:szCs w:val="28"/>
          <w:lang w:val="en-US"/>
        </w:rPr>
        <w:t>:</w:t>
      </w:r>
    </w:p>
    <w:p w:rsidR="000268AB" w:rsidRDefault="000268AB" w:rsidP="002106B1">
      <w:pPr>
        <w:pStyle w:val="a3"/>
        <w:jc w:val="right"/>
        <w:rPr>
          <w:lang w:val="en-US"/>
        </w:rPr>
      </w:pPr>
    </w:p>
    <w:p w:rsidR="002106B1" w:rsidRPr="000A484D" w:rsidRDefault="00176695" w:rsidP="004B1914">
      <w:pPr>
        <w:pStyle w:val="a4"/>
        <w:numPr>
          <w:ilvl w:val="0"/>
          <w:numId w:val="8"/>
        </w:numPr>
        <w:jc w:val="both"/>
        <w:rPr>
          <w:bCs/>
          <w:sz w:val="24"/>
          <w:szCs w:val="24"/>
          <w:lang w:val="en-US"/>
        </w:rPr>
      </w:pPr>
      <w:r w:rsidRPr="000A484D">
        <w:rPr>
          <w:bCs/>
          <w:sz w:val="24"/>
          <w:szCs w:val="24"/>
          <w:lang w:val="en-US"/>
        </w:rPr>
        <w:t xml:space="preserve">Se </w:t>
      </w:r>
      <w:proofErr w:type="spellStart"/>
      <w:r w:rsidR="00FB3956" w:rsidRPr="000A484D">
        <w:rPr>
          <w:bCs/>
          <w:sz w:val="24"/>
          <w:szCs w:val="24"/>
          <w:lang w:val="en-US"/>
        </w:rPr>
        <w:t>aprobă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FB3956" w:rsidRPr="000A484D">
        <w:rPr>
          <w:bCs/>
          <w:sz w:val="24"/>
          <w:szCs w:val="24"/>
          <w:lang w:val="en-US"/>
        </w:rPr>
        <w:t>casarea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FB3956" w:rsidRPr="000A484D">
        <w:rPr>
          <w:bCs/>
          <w:sz w:val="24"/>
          <w:szCs w:val="24"/>
          <w:lang w:val="en-US"/>
        </w:rPr>
        <w:t>mijloacelor</w:t>
      </w:r>
      <w:proofErr w:type="spellEnd"/>
      <w:r w:rsidR="00FB3956" w:rsidRPr="000A484D">
        <w:rPr>
          <w:bCs/>
          <w:sz w:val="24"/>
          <w:szCs w:val="24"/>
          <w:lang w:val="en-US"/>
        </w:rPr>
        <w:t xml:space="preserve"> fixe din </w:t>
      </w:r>
      <w:proofErr w:type="spellStart"/>
      <w:r w:rsidR="00FB3956" w:rsidRPr="000A484D">
        <w:rPr>
          <w:bCs/>
          <w:sz w:val="24"/>
          <w:szCs w:val="24"/>
          <w:lang w:val="en-US"/>
        </w:rPr>
        <w:t>gestiunea</w:t>
      </w:r>
      <w:r w:rsidR="00FA514A" w:rsidRPr="000A484D">
        <w:rPr>
          <w:bCs/>
          <w:sz w:val="24"/>
          <w:szCs w:val="24"/>
          <w:lang w:val="en-US"/>
        </w:rPr>
        <w:t>IMSP</w:t>
      </w:r>
      <w:proofErr w:type="spellEnd"/>
      <w:r w:rsidR="00FA514A" w:rsidRPr="000A484D">
        <w:rPr>
          <w:bCs/>
          <w:sz w:val="24"/>
          <w:szCs w:val="24"/>
          <w:lang w:val="en-US"/>
        </w:rPr>
        <w:t xml:space="preserve"> SR </w:t>
      </w:r>
      <w:proofErr w:type="spellStart"/>
      <w:r w:rsidR="00FA514A" w:rsidRPr="000A484D">
        <w:rPr>
          <w:bCs/>
          <w:sz w:val="24"/>
          <w:szCs w:val="24"/>
          <w:lang w:val="en-US"/>
        </w:rPr>
        <w:t>Cimișlia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FB3956" w:rsidRPr="000A484D">
        <w:rPr>
          <w:bCs/>
          <w:sz w:val="24"/>
          <w:szCs w:val="24"/>
          <w:lang w:val="en-US"/>
        </w:rPr>
        <w:t>în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FB3956" w:rsidRPr="000A484D">
        <w:rPr>
          <w:bCs/>
          <w:sz w:val="24"/>
          <w:szCs w:val="24"/>
          <w:lang w:val="en-US"/>
        </w:rPr>
        <w:t>sumă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gramStart"/>
      <w:r w:rsidR="00FB3956" w:rsidRPr="000A484D">
        <w:rPr>
          <w:bCs/>
          <w:sz w:val="24"/>
          <w:szCs w:val="24"/>
          <w:lang w:val="en-US"/>
        </w:rPr>
        <w:t xml:space="preserve">de  </w:t>
      </w:r>
      <w:r w:rsidR="00FA514A" w:rsidRPr="000A484D">
        <w:rPr>
          <w:b/>
          <w:bCs/>
          <w:sz w:val="24"/>
          <w:szCs w:val="24"/>
          <w:lang w:val="en-US"/>
        </w:rPr>
        <w:t>341774,0</w:t>
      </w:r>
      <w:r w:rsidR="00FB3956" w:rsidRPr="000A484D">
        <w:rPr>
          <w:b/>
          <w:bCs/>
          <w:sz w:val="24"/>
          <w:szCs w:val="24"/>
          <w:lang w:val="en-US"/>
        </w:rPr>
        <w:t>0</w:t>
      </w:r>
      <w:proofErr w:type="gramEnd"/>
      <w:r w:rsidR="00FB3956" w:rsidRPr="000A484D">
        <w:rPr>
          <w:bCs/>
          <w:sz w:val="24"/>
          <w:szCs w:val="24"/>
          <w:lang w:val="en-US"/>
        </w:rPr>
        <w:t xml:space="preserve"> lei,</w:t>
      </w:r>
      <w:r w:rsidR="00F47C8A" w:rsidRPr="000A484D">
        <w:rPr>
          <w:bCs/>
          <w:sz w:val="24"/>
          <w:szCs w:val="24"/>
          <w:lang w:val="en-US"/>
        </w:rPr>
        <w:t xml:space="preserve"> conform </w:t>
      </w:r>
      <w:proofErr w:type="spellStart"/>
      <w:r w:rsidR="00F47C8A" w:rsidRPr="000A484D">
        <w:rPr>
          <w:bCs/>
          <w:sz w:val="24"/>
          <w:szCs w:val="24"/>
          <w:lang w:val="en-US"/>
        </w:rPr>
        <w:t>anexeinr</w:t>
      </w:r>
      <w:proofErr w:type="spellEnd"/>
      <w:r w:rsidR="00F47C8A" w:rsidRPr="000A484D">
        <w:rPr>
          <w:bCs/>
          <w:sz w:val="24"/>
          <w:szCs w:val="24"/>
          <w:lang w:val="en-US"/>
        </w:rPr>
        <w:t>. 1.</w:t>
      </w:r>
    </w:p>
    <w:p w:rsidR="005C2A93" w:rsidRPr="000A484D" w:rsidRDefault="005C2A93" w:rsidP="005C2A93">
      <w:pPr>
        <w:ind w:left="360"/>
        <w:jc w:val="both"/>
        <w:rPr>
          <w:bCs/>
          <w:sz w:val="24"/>
          <w:szCs w:val="24"/>
          <w:lang w:val="en-US"/>
        </w:rPr>
      </w:pPr>
    </w:p>
    <w:p w:rsidR="005C2A93" w:rsidRPr="000A484D" w:rsidRDefault="005C2A93" w:rsidP="004B1914">
      <w:pPr>
        <w:pStyle w:val="a4"/>
        <w:numPr>
          <w:ilvl w:val="0"/>
          <w:numId w:val="8"/>
        </w:numPr>
        <w:jc w:val="both"/>
        <w:rPr>
          <w:bCs/>
          <w:sz w:val="24"/>
          <w:szCs w:val="24"/>
          <w:lang w:val="en-US"/>
        </w:rPr>
      </w:pPr>
      <w:proofErr w:type="spellStart"/>
      <w:r w:rsidRPr="000A484D">
        <w:rPr>
          <w:bCs/>
          <w:sz w:val="24"/>
          <w:szCs w:val="24"/>
          <w:lang w:val="en-US"/>
        </w:rPr>
        <w:t>C</w:t>
      </w:r>
      <w:r w:rsidR="00FA514A" w:rsidRPr="000A484D">
        <w:rPr>
          <w:bCs/>
          <w:sz w:val="24"/>
          <w:szCs w:val="24"/>
          <w:lang w:val="en-US"/>
        </w:rPr>
        <w:t>ontabil</w:t>
      </w:r>
      <w:r w:rsidR="009D6E13">
        <w:rPr>
          <w:bCs/>
          <w:sz w:val="24"/>
          <w:szCs w:val="24"/>
          <w:lang w:val="en-US"/>
        </w:rPr>
        <w:t>ul</w:t>
      </w:r>
      <w:r w:rsidR="00FA514A" w:rsidRPr="000A484D">
        <w:rPr>
          <w:bCs/>
          <w:sz w:val="24"/>
          <w:szCs w:val="24"/>
          <w:lang w:val="en-US"/>
        </w:rPr>
        <w:t>-șef</w:t>
      </w:r>
      <w:proofErr w:type="spellEnd"/>
      <w:r w:rsidR="00FA514A" w:rsidRPr="000A484D">
        <w:rPr>
          <w:bCs/>
          <w:sz w:val="24"/>
          <w:szCs w:val="24"/>
          <w:lang w:val="en-US"/>
        </w:rPr>
        <w:t xml:space="preserve"> al IMSP SR </w:t>
      </w:r>
      <w:proofErr w:type="spellStart"/>
      <w:r w:rsidR="00FA514A" w:rsidRPr="000A484D">
        <w:rPr>
          <w:bCs/>
          <w:sz w:val="24"/>
          <w:szCs w:val="24"/>
          <w:lang w:val="en-US"/>
        </w:rPr>
        <w:t>Cimislia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A484D">
        <w:rPr>
          <w:bCs/>
          <w:sz w:val="24"/>
          <w:szCs w:val="24"/>
          <w:lang w:val="en-US"/>
        </w:rPr>
        <w:t>va</w:t>
      </w:r>
      <w:proofErr w:type="spellEnd"/>
      <w:proofErr w:type="gram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efectua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decontarea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sumei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nominalizate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în</w:t>
      </w:r>
      <w:proofErr w:type="spellEnd"/>
      <w:r w:rsidRPr="000A484D">
        <w:rPr>
          <w:bCs/>
          <w:sz w:val="24"/>
          <w:szCs w:val="24"/>
          <w:lang w:val="en-US"/>
        </w:rPr>
        <w:t xml:space="preserve"> pct.1 al </w:t>
      </w:r>
      <w:proofErr w:type="spellStart"/>
      <w:r w:rsidRPr="000A484D">
        <w:rPr>
          <w:bCs/>
          <w:sz w:val="24"/>
          <w:szCs w:val="24"/>
          <w:lang w:val="en-US"/>
        </w:rPr>
        <w:t>prezentei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decizii</w:t>
      </w:r>
      <w:proofErr w:type="spellEnd"/>
      <w:r w:rsidRPr="000A484D">
        <w:rPr>
          <w:bCs/>
          <w:sz w:val="24"/>
          <w:szCs w:val="24"/>
          <w:lang w:val="en-US"/>
        </w:rPr>
        <w:t xml:space="preserve">, conform </w:t>
      </w:r>
      <w:proofErr w:type="spellStart"/>
      <w:r w:rsidRPr="000A484D">
        <w:rPr>
          <w:bCs/>
          <w:sz w:val="24"/>
          <w:szCs w:val="24"/>
          <w:lang w:val="en-US"/>
        </w:rPr>
        <w:t>prevederilor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legislației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în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vigoare</w:t>
      </w:r>
      <w:proofErr w:type="spellEnd"/>
      <w:r w:rsidRPr="000A484D">
        <w:rPr>
          <w:bCs/>
          <w:sz w:val="24"/>
          <w:szCs w:val="24"/>
          <w:lang w:val="en-US"/>
        </w:rPr>
        <w:t>.</w:t>
      </w:r>
    </w:p>
    <w:p w:rsidR="005C2A93" w:rsidRPr="000A484D" w:rsidRDefault="005C2A93" w:rsidP="005C2A93">
      <w:pPr>
        <w:pStyle w:val="a4"/>
        <w:ind w:left="720"/>
        <w:jc w:val="both"/>
        <w:rPr>
          <w:bCs/>
          <w:sz w:val="24"/>
          <w:szCs w:val="24"/>
          <w:lang w:val="en-US"/>
        </w:rPr>
      </w:pPr>
    </w:p>
    <w:p w:rsidR="00F47C8A" w:rsidRPr="000A484D" w:rsidRDefault="00F47C8A" w:rsidP="00F47C8A">
      <w:pPr>
        <w:pStyle w:val="a4"/>
        <w:numPr>
          <w:ilvl w:val="0"/>
          <w:numId w:val="8"/>
        </w:numPr>
        <w:jc w:val="both"/>
        <w:rPr>
          <w:bCs/>
          <w:sz w:val="24"/>
          <w:szCs w:val="24"/>
          <w:lang w:val="en-US"/>
        </w:rPr>
      </w:pPr>
      <w:proofErr w:type="spellStart"/>
      <w:r w:rsidRPr="000A484D">
        <w:rPr>
          <w:bCs/>
          <w:sz w:val="24"/>
          <w:szCs w:val="24"/>
          <w:lang w:val="en-US"/>
        </w:rPr>
        <w:t>Control</w:t>
      </w:r>
      <w:r w:rsidR="005C2A93" w:rsidRPr="000A484D">
        <w:rPr>
          <w:bCs/>
          <w:sz w:val="24"/>
          <w:szCs w:val="24"/>
          <w:lang w:val="en-US"/>
        </w:rPr>
        <w:t>ul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5C2A93" w:rsidRPr="000A484D">
        <w:rPr>
          <w:bCs/>
          <w:sz w:val="24"/>
          <w:szCs w:val="24"/>
          <w:lang w:val="en-US"/>
        </w:rPr>
        <w:t>asupra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5C2A93" w:rsidRPr="000A484D">
        <w:rPr>
          <w:bCs/>
          <w:sz w:val="24"/>
          <w:szCs w:val="24"/>
          <w:lang w:val="en-US"/>
        </w:rPr>
        <w:t>executării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5C2A93" w:rsidRPr="000A484D">
        <w:rPr>
          <w:bCs/>
          <w:sz w:val="24"/>
          <w:szCs w:val="24"/>
          <w:lang w:val="en-US"/>
        </w:rPr>
        <w:t>prezentei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5C2A93" w:rsidRPr="000A484D">
        <w:rPr>
          <w:bCs/>
          <w:sz w:val="24"/>
          <w:szCs w:val="24"/>
          <w:lang w:val="en-US"/>
        </w:rPr>
        <w:t>d</w:t>
      </w:r>
      <w:r w:rsidRPr="000A484D">
        <w:rPr>
          <w:bCs/>
          <w:sz w:val="24"/>
          <w:szCs w:val="24"/>
          <w:lang w:val="en-US"/>
        </w:rPr>
        <w:t>ecizii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r w:rsidR="00B748BD" w:rsidRPr="000A484D">
        <w:rPr>
          <w:bCs/>
          <w:sz w:val="24"/>
          <w:szCs w:val="24"/>
          <w:lang w:val="en-US"/>
        </w:rPr>
        <w:t xml:space="preserve">se </w:t>
      </w:r>
      <w:proofErr w:type="spellStart"/>
      <w:r w:rsidR="000A484D">
        <w:rPr>
          <w:bCs/>
          <w:sz w:val="24"/>
          <w:szCs w:val="24"/>
          <w:lang w:val="en-US"/>
        </w:rPr>
        <w:t>atribuie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0A484D">
        <w:rPr>
          <w:bCs/>
          <w:sz w:val="24"/>
          <w:szCs w:val="24"/>
          <w:lang w:val="en-US"/>
        </w:rPr>
        <w:t>vicipresedintelui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0A484D">
        <w:rPr>
          <w:bCs/>
          <w:sz w:val="24"/>
          <w:szCs w:val="24"/>
          <w:lang w:val="en-US"/>
        </w:rPr>
        <w:t>raionului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0A484D">
        <w:rPr>
          <w:bCs/>
          <w:sz w:val="24"/>
          <w:szCs w:val="24"/>
          <w:lang w:val="en-US"/>
        </w:rPr>
        <w:t>Cimislia</w:t>
      </w:r>
      <w:proofErr w:type="spellEnd"/>
      <w:r w:rsidR="000A484D">
        <w:rPr>
          <w:bCs/>
          <w:sz w:val="24"/>
          <w:szCs w:val="24"/>
          <w:lang w:val="en-US"/>
        </w:rPr>
        <w:t xml:space="preserve">, dl. </w:t>
      </w:r>
      <w:proofErr w:type="spellStart"/>
      <w:r w:rsidR="000A484D">
        <w:rPr>
          <w:bCs/>
          <w:sz w:val="24"/>
          <w:szCs w:val="24"/>
          <w:lang w:val="en-US"/>
        </w:rPr>
        <w:t>Vasile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0A484D">
        <w:rPr>
          <w:bCs/>
          <w:sz w:val="24"/>
          <w:szCs w:val="24"/>
          <w:lang w:val="en-US"/>
        </w:rPr>
        <w:t>Melente</w:t>
      </w:r>
      <w:proofErr w:type="spellEnd"/>
      <w:r w:rsidRPr="000A484D">
        <w:rPr>
          <w:bCs/>
          <w:sz w:val="24"/>
          <w:szCs w:val="24"/>
          <w:lang w:val="en-US"/>
        </w:rPr>
        <w:t>.</w:t>
      </w:r>
    </w:p>
    <w:p w:rsidR="00F47C8A" w:rsidRPr="000A484D" w:rsidRDefault="00F47C8A" w:rsidP="00F47C8A">
      <w:pPr>
        <w:pStyle w:val="a4"/>
        <w:ind w:left="900"/>
        <w:jc w:val="both"/>
        <w:rPr>
          <w:bCs/>
          <w:sz w:val="24"/>
          <w:szCs w:val="24"/>
          <w:lang w:val="en-US"/>
        </w:rPr>
      </w:pPr>
    </w:p>
    <w:p w:rsidR="00F47C8A" w:rsidRPr="000A484D" w:rsidRDefault="00F47C8A" w:rsidP="00F47C8A">
      <w:pPr>
        <w:pStyle w:val="a4"/>
        <w:numPr>
          <w:ilvl w:val="0"/>
          <w:numId w:val="8"/>
        </w:numPr>
        <w:jc w:val="both"/>
        <w:rPr>
          <w:bCs/>
          <w:sz w:val="24"/>
          <w:szCs w:val="24"/>
          <w:lang w:val="en-US"/>
        </w:rPr>
      </w:pPr>
      <w:proofErr w:type="spellStart"/>
      <w:r w:rsidRPr="000A484D">
        <w:rPr>
          <w:bCs/>
          <w:sz w:val="24"/>
          <w:szCs w:val="24"/>
          <w:lang w:val="en-US"/>
        </w:rPr>
        <w:t>Prezenta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decizie</w:t>
      </w:r>
      <w:proofErr w:type="spellEnd"/>
      <w:r w:rsidRPr="000A484D">
        <w:rPr>
          <w:bCs/>
          <w:sz w:val="24"/>
          <w:szCs w:val="24"/>
          <w:lang w:val="en-US"/>
        </w:rPr>
        <w:t xml:space="preserve"> se </w:t>
      </w:r>
      <w:proofErr w:type="spellStart"/>
      <w:r w:rsidRPr="000A484D">
        <w:rPr>
          <w:bCs/>
          <w:sz w:val="24"/>
          <w:szCs w:val="24"/>
          <w:lang w:val="en-US"/>
        </w:rPr>
        <w:t>aduce</w:t>
      </w:r>
      <w:proofErr w:type="spellEnd"/>
      <w:r w:rsidRPr="000A484D">
        <w:rPr>
          <w:bCs/>
          <w:sz w:val="24"/>
          <w:szCs w:val="24"/>
          <w:lang w:val="en-US"/>
        </w:rPr>
        <w:t xml:space="preserve"> la </w:t>
      </w:r>
      <w:proofErr w:type="spellStart"/>
      <w:r w:rsidRPr="000A484D">
        <w:rPr>
          <w:bCs/>
          <w:sz w:val="24"/>
          <w:szCs w:val="24"/>
          <w:lang w:val="en-US"/>
        </w:rPr>
        <w:t>cunoștință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prin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publicare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pe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9D6E13">
        <w:rPr>
          <w:bCs/>
          <w:sz w:val="24"/>
          <w:szCs w:val="24"/>
          <w:lang w:val="en-US"/>
        </w:rPr>
        <w:t>pagina</w:t>
      </w:r>
      <w:proofErr w:type="spellEnd"/>
      <w:r w:rsidR="009D6E13">
        <w:rPr>
          <w:bCs/>
          <w:sz w:val="24"/>
          <w:szCs w:val="24"/>
          <w:lang w:val="en-US"/>
        </w:rPr>
        <w:t xml:space="preserve"> web </w:t>
      </w:r>
      <w:proofErr w:type="spellStart"/>
      <w:r w:rsidR="009D6E13">
        <w:rPr>
          <w:bCs/>
          <w:sz w:val="24"/>
          <w:szCs w:val="24"/>
          <w:lang w:val="en-US"/>
        </w:rPr>
        <w:t>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="009D6E13">
        <w:rPr>
          <w:bCs/>
          <w:sz w:val="24"/>
          <w:szCs w:val="24"/>
          <w:lang w:val="en-US"/>
        </w:rPr>
        <w:t>C</w:t>
      </w:r>
      <w:r w:rsidRPr="000A484D">
        <w:rPr>
          <w:bCs/>
          <w:sz w:val="24"/>
          <w:szCs w:val="24"/>
          <w:lang w:val="en-US"/>
        </w:rPr>
        <w:t>onsiliului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raional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proofErr w:type="spellStart"/>
      <w:r w:rsidRPr="000A484D">
        <w:rPr>
          <w:bCs/>
          <w:sz w:val="24"/>
          <w:szCs w:val="24"/>
          <w:lang w:val="en-US"/>
        </w:rPr>
        <w:t>Cimișlia</w:t>
      </w:r>
      <w:proofErr w:type="spellEnd"/>
      <w:r w:rsidR="009D6E13">
        <w:rPr>
          <w:bCs/>
          <w:sz w:val="24"/>
          <w:szCs w:val="24"/>
          <w:lang w:val="en-US"/>
        </w:rPr>
        <w:t xml:space="preserve"> </w:t>
      </w:r>
      <w:hyperlink r:id="rId9" w:history="1">
        <w:r w:rsidRPr="000A484D">
          <w:rPr>
            <w:rStyle w:val="a8"/>
            <w:bCs/>
            <w:sz w:val="24"/>
            <w:szCs w:val="24"/>
            <w:lang w:val="en-US"/>
          </w:rPr>
          <w:t>www.raioncimislia.md</w:t>
        </w:r>
      </w:hyperlink>
      <w:r w:rsidRPr="000A484D">
        <w:rPr>
          <w:bCs/>
          <w:sz w:val="24"/>
          <w:szCs w:val="24"/>
          <w:lang w:val="en-US"/>
        </w:rPr>
        <w:t xml:space="preserve">. </w:t>
      </w:r>
    </w:p>
    <w:p w:rsidR="00F47C8A" w:rsidRPr="000A484D" w:rsidRDefault="00F47C8A" w:rsidP="00EF78DD">
      <w:pPr>
        <w:jc w:val="both"/>
        <w:rPr>
          <w:bCs/>
          <w:sz w:val="24"/>
          <w:szCs w:val="24"/>
          <w:lang w:val="en-US"/>
        </w:rPr>
      </w:pPr>
    </w:p>
    <w:p w:rsidR="000A484D" w:rsidRPr="000A484D" w:rsidRDefault="000A484D" w:rsidP="000A484D">
      <w:pPr>
        <w:rPr>
          <w:b/>
          <w:sz w:val="24"/>
          <w:szCs w:val="24"/>
          <w:lang w:val="ro-RO"/>
        </w:rPr>
      </w:pPr>
      <w:r w:rsidRPr="000A484D">
        <w:rPr>
          <w:b/>
          <w:sz w:val="24"/>
          <w:szCs w:val="24"/>
          <w:lang w:val="ro-RO"/>
        </w:rPr>
        <w:t xml:space="preserve">Preşedintele şedinţei </w:t>
      </w:r>
    </w:p>
    <w:p w:rsidR="000A484D" w:rsidRPr="000A484D" w:rsidRDefault="000A484D" w:rsidP="000A484D">
      <w:pPr>
        <w:rPr>
          <w:b/>
          <w:sz w:val="24"/>
          <w:szCs w:val="24"/>
          <w:lang w:val="ro-RO"/>
        </w:rPr>
      </w:pPr>
    </w:p>
    <w:p w:rsidR="000A484D" w:rsidRPr="000A484D" w:rsidRDefault="000A484D" w:rsidP="000A484D">
      <w:pPr>
        <w:rPr>
          <w:b/>
          <w:sz w:val="24"/>
          <w:szCs w:val="24"/>
          <w:lang w:val="ro-RO"/>
        </w:rPr>
      </w:pPr>
      <w:r w:rsidRPr="000A484D">
        <w:rPr>
          <w:b/>
          <w:sz w:val="24"/>
          <w:szCs w:val="24"/>
          <w:lang w:val="ro-RO"/>
        </w:rPr>
        <w:t xml:space="preserve">Secretarul Consiliului                                                                                  Vasile Spinu </w:t>
      </w:r>
    </w:p>
    <w:p w:rsidR="000A484D" w:rsidRPr="000A484D" w:rsidRDefault="000A484D" w:rsidP="000A484D">
      <w:pPr>
        <w:rPr>
          <w:b/>
          <w:sz w:val="24"/>
          <w:szCs w:val="24"/>
          <w:lang w:val="ro-RO"/>
        </w:rPr>
      </w:pPr>
    </w:p>
    <w:p w:rsidR="000A484D" w:rsidRPr="000A484D" w:rsidRDefault="000A484D" w:rsidP="000A484D">
      <w:pPr>
        <w:rPr>
          <w:sz w:val="24"/>
          <w:szCs w:val="24"/>
          <w:lang w:val="ro-RO"/>
        </w:rPr>
      </w:pPr>
    </w:p>
    <w:p w:rsidR="000A484D" w:rsidRPr="000A484D" w:rsidRDefault="000A484D" w:rsidP="000A484D">
      <w:pPr>
        <w:rPr>
          <w:sz w:val="24"/>
          <w:szCs w:val="24"/>
          <w:lang w:val="ro-RO"/>
        </w:rPr>
      </w:pPr>
      <w:r w:rsidRPr="000A484D">
        <w:rPr>
          <w:sz w:val="24"/>
          <w:szCs w:val="24"/>
          <w:lang w:val="ro-RO"/>
        </w:rPr>
        <w:t>Coordonat</w:t>
      </w:r>
      <w:r w:rsidR="009D6E13">
        <w:rPr>
          <w:sz w:val="24"/>
          <w:szCs w:val="24"/>
          <w:lang w:val="ro-RO"/>
        </w:rPr>
        <w:t>:</w:t>
      </w:r>
      <w:r w:rsidRPr="000A484D">
        <w:rPr>
          <w:sz w:val="24"/>
          <w:szCs w:val="24"/>
          <w:lang w:val="ro-RO"/>
        </w:rPr>
        <w:t xml:space="preserve"> </w:t>
      </w:r>
    </w:p>
    <w:p w:rsidR="000A484D" w:rsidRPr="000A484D" w:rsidRDefault="000A484D" w:rsidP="000A484D">
      <w:pPr>
        <w:rPr>
          <w:sz w:val="24"/>
          <w:szCs w:val="24"/>
          <w:lang w:val="en-US"/>
        </w:rPr>
      </w:pPr>
      <w:r w:rsidRPr="000A484D">
        <w:rPr>
          <w:sz w:val="24"/>
          <w:szCs w:val="24"/>
          <w:lang w:val="ro-RO"/>
        </w:rPr>
        <w:t xml:space="preserve">Vicepresedintele raionului                                                                           Vasile Melente                                                      </w:t>
      </w:r>
    </w:p>
    <w:p w:rsidR="000A484D" w:rsidRPr="000A484D" w:rsidRDefault="000A484D" w:rsidP="000A484D">
      <w:pPr>
        <w:rPr>
          <w:sz w:val="24"/>
          <w:szCs w:val="24"/>
          <w:lang w:val="ro-RO"/>
        </w:rPr>
      </w:pPr>
    </w:p>
    <w:p w:rsidR="000A484D" w:rsidRPr="000A484D" w:rsidRDefault="000A484D" w:rsidP="000A484D">
      <w:pPr>
        <w:rPr>
          <w:sz w:val="24"/>
          <w:szCs w:val="24"/>
          <w:lang w:val="ro-RO"/>
        </w:rPr>
      </w:pPr>
      <w:r w:rsidRPr="000A484D">
        <w:rPr>
          <w:sz w:val="24"/>
          <w:szCs w:val="24"/>
          <w:lang w:val="ro-RO"/>
        </w:rPr>
        <w:t>Avizat:</w:t>
      </w:r>
    </w:p>
    <w:p w:rsidR="000A484D" w:rsidRDefault="000A484D" w:rsidP="000A484D">
      <w:pPr>
        <w:rPr>
          <w:sz w:val="24"/>
          <w:szCs w:val="24"/>
          <w:lang w:val="ro-RO"/>
        </w:rPr>
      </w:pPr>
      <w:r w:rsidRPr="000A484D">
        <w:rPr>
          <w:sz w:val="24"/>
          <w:szCs w:val="24"/>
          <w:lang w:val="ro-RO"/>
        </w:rPr>
        <w:t>Secretarul Consiliului raional Cimislia                                                         Vasile Spinu</w:t>
      </w:r>
    </w:p>
    <w:p w:rsidR="000A484D" w:rsidRDefault="000A484D" w:rsidP="000A484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Jurist CR                                                                                                        Anatolie Casap</w:t>
      </w:r>
    </w:p>
    <w:p w:rsidR="000A484D" w:rsidRDefault="000A484D" w:rsidP="000A484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Elaborat:</w:t>
      </w:r>
    </w:p>
    <w:p w:rsidR="00A22593" w:rsidRPr="000A484D" w:rsidRDefault="000A484D" w:rsidP="00A2259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 IMSP SR Cimislia                                                                           Mariana Florea</w:t>
      </w:r>
      <w:bookmarkStart w:id="0" w:name="_GoBack"/>
      <w:bookmarkEnd w:id="0"/>
    </w:p>
    <w:p w:rsidR="005C2A93" w:rsidRPr="000A484D" w:rsidRDefault="005C2A93" w:rsidP="000A484D">
      <w:pPr>
        <w:jc w:val="center"/>
        <w:rPr>
          <w:b/>
          <w:sz w:val="24"/>
          <w:szCs w:val="24"/>
          <w:lang w:val="en-US"/>
        </w:rPr>
      </w:pPr>
    </w:p>
    <w:p w:rsidR="005C2A93" w:rsidRDefault="005C2A93" w:rsidP="002106B1">
      <w:pPr>
        <w:jc w:val="both"/>
        <w:rPr>
          <w:bCs/>
          <w:sz w:val="28"/>
          <w:szCs w:val="28"/>
          <w:lang w:val="en-US"/>
        </w:rPr>
      </w:pPr>
    </w:p>
    <w:p w:rsidR="00B748BD" w:rsidRPr="002106B1" w:rsidRDefault="00B748BD" w:rsidP="002106B1">
      <w:pPr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583"/>
        <w:gridCol w:w="141"/>
        <w:gridCol w:w="150"/>
        <w:gridCol w:w="285"/>
        <w:gridCol w:w="159"/>
        <w:gridCol w:w="159"/>
        <w:gridCol w:w="303"/>
        <w:gridCol w:w="367"/>
        <w:gridCol w:w="367"/>
        <w:gridCol w:w="719"/>
        <w:gridCol w:w="719"/>
        <w:gridCol w:w="583"/>
        <w:gridCol w:w="583"/>
        <w:gridCol w:w="583"/>
        <w:gridCol w:w="583"/>
        <w:gridCol w:w="647"/>
        <w:gridCol w:w="899"/>
        <w:gridCol w:w="764"/>
        <w:gridCol w:w="791"/>
      </w:tblGrid>
      <w:tr w:rsidR="002106B1" w:rsidRPr="009D6E13" w:rsidTr="002106B1">
        <w:trPr>
          <w:hidden/>
        </w:trPr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4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0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</w:tr>
    </w:tbl>
    <w:p w:rsidR="00F014D6" w:rsidRPr="005A4117" w:rsidRDefault="00F014D6" w:rsidP="00F014D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A4117">
        <w:rPr>
          <w:b/>
          <w:bCs/>
          <w:sz w:val="28"/>
          <w:szCs w:val="28"/>
          <w:lang w:val="en-US"/>
        </w:rPr>
        <w:t>Notăinformativă</w:t>
      </w:r>
      <w:proofErr w:type="spellEnd"/>
    </w:p>
    <w:p w:rsidR="00F014D6" w:rsidRPr="000554DB" w:rsidRDefault="0071073C" w:rsidP="00F014D6">
      <w:pPr>
        <w:jc w:val="center"/>
        <w:rPr>
          <w:rStyle w:val="docheader"/>
          <w:b/>
          <w:bCs/>
          <w:sz w:val="26"/>
          <w:szCs w:val="26"/>
          <w:lang w:val="en-US"/>
        </w:rPr>
      </w:pPr>
      <w:r>
        <w:rPr>
          <w:b/>
          <w:sz w:val="26"/>
          <w:szCs w:val="26"/>
          <w:lang w:val="ro-RO"/>
        </w:rPr>
        <w:t>c</w:t>
      </w:r>
      <w:r w:rsidR="00F014D6" w:rsidRPr="000554DB">
        <w:rPr>
          <w:b/>
          <w:sz w:val="26"/>
          <w:szCs w:val="26"/>
          <w:lang w:val="ro-RO"/>
        </w:rPr>
        <w:t xml:space="preserve">u privire la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casarea</w:t>
      </w:r>
      <w:proofErr w:type="spellEnd"/>
      <w:r w:rsidR="009D6E13">
        <w:rPr>
          <w:rStyle w:val="docheader"/>
          <w:b/>
          <w:bCs/>
          <w:sz w:val="26"/>
          <w:szCs w:val="26"/>
          <w:lang w:val="en-US"/>
        </w:rPr>
        <w:t xml:space="preserve"> 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bunurilor</w:t>
      </w:r>
      <w:proofErr w:type="spellEnd"/>
      <w:r w:rsidR="009D6E13">
        <w:rPr>
          <w:rStyle w:val="docheader"/>
          <w:b/>
          <w:bCs/>
          <w:sz w:val="26"/>
          <w:szCs w:val="26"/>
          <w:lang w:val="en-US"/>
        </w:rPr>
        <w:t xml:space="preserve"> 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uzate</w:t>
      </w:r>
      <w:proofErr w:type="spellEnd"/>
      <w:r w:rsidR="00F014D6" w:rsidRPr="000554DB">
        <w:rPr>
          <w:rStyle w:val="docheader"/>
          <w:b/>
          <w:bCs/>
          <w:sz w:val="26"/>
          <w:szCs w:val="26"/>
          <w:lang w:val="en-US"/>
        </w:rPr>
        <w:t>,</w:t>
      </w:r>
    </w:p>
    <w:p w:rsidR="00F014D6" w:rsidRDefault="00F014D6" w:rsidP="00F014D6">
      <w:pPr>
        <w:jc w:val="center"/>
        <w:rPr>
          <w:rStyle w:val="docheader"/>
          <w:b/>
          <w:bCs/>
          <w:sz w:val="26"/>
          <w:szCs w:val="26"/>
          <w:lang w:val="en-US"/>
        </w:rPr>
      </w:pP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raportate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la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fixe</w:t>
      </w:r>
    </w:p>
    <w:p w:rsidR="00F014D6" w:rsidRPr="00020BBD" w:rsidRDefault="00F014D6" w:rsidP="009D6E13">
      <w:pPr>
        <w:jc w:val="both"/>
        <w:rPr>
          <w:b/>
          <w:bCs/>
          <w:sz w:val="28"/>
          <w:szCs w:val="28"/>
          <w:lang w:val="en-US"/>
        </w:rPr>
      </w:pPr>
    </w:p>
    <w:p w:rsidR="009D6E13" w:rsidRPr="009D6E13" w:rsidRDefault="009D6E13" w:rsidP="009D6E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9D6E13">
        <w:rPr>
          <w:sz w:val="28"/>
          <w:szCs w:val="28"/>
          <w:lang w:val="ro-RO"/>
        </w:rPr>
        <w:t>In urma  evaluarii mijloacelor fixe  ale IMSP Spiatalul Raional Cimislia propuse spre casare, care sunt neutilizate de mai mult timp în activiateta Instituţiei medico-sanitare Publice Spitalul Raional Cimişlia, comisiei de evaluare a utilajelor medicale  din cadrul IMSP Spitalul Raional Cimislia, inclusiv confirmată de institutiile de profil  a constatat un nivel inalt de uzura a utilajelor, care nu pot fi folosite in continuare in activitatea institutiei şi stare nefuncţională la unele dispozitive pentru care reparaţia este costisitoare si ineficientă economic.</w:t>
      </w:r>
    </w:p>
    <w:p w:rsidR="009D6E13" w:rsidRPr="009D6E13" w:rsidRDefault="009D6E13" w:rsidP="009D6E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9D6E13">
        <w:rPr>
          <w:sz w:val="28"/>
          <w:szCs w:val="28"/>
          <w:lang w:val="ro-RO"/>
        </w:rPr>
        <w:t>Re</w:t>
      </w:r>
      <w:r>
        <w:rPr>
          <w:sz w:val="28"/>
          <w:szCs w:val="28"/>
          <w:lang w:val="ro-RO"/>
        </w:rPr>
        <w:t>i</w:t>
      </w:r>
      <w:r w:rsidRPr="009D6E13">
        <w:rPr>
          <w:sz w:val="28"/>
          <w:szCs w:val="28"/>
          <w:lang w:val="ro-RO"/>
        </w:rPr>
        <w:t xml:space="preserve">eşind din cele expuse IMSP Spitalul Raional Cimişlia propune spre aprobare casarea mijloacelor fixe conform </w:t>
      </w:r>
      <w:r w:rsidRPr="009D6E13">
        <w:rPr>
          <w:b/>
          <w:sz w:val="28"/>
          <w:szCs w:val="28"/>
          <w:lang w:val="ro-RO"/>
        </w:rPr>
        <w:t>anexei nr.1.</w:t>
      </w:r>
    </w:p>
    <w:p w:rsidR="00916707" w:rsidRPr="009D6E13" w:rsidRDefault="009D6E13" w:rsidP="009D6E13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 </w:t>
      </w:r>
      <w:proofErr w:type="spellStart"/>
      <w:r w:rsidR="00916707" w:rsidRPr="009D6E13">
        <w:rPr>
          <w:bCs/>
          <w:sz w:val="28"/>
          <w:szCs w:val="28"/>
          <w:lang w:val="en-US"/>
        </w:rPr>
        <w:t>În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temeiul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art.43 din </w:t>
      </w:r>
      <w:proofErr w:type="spellStart"/>
      <w:r w:rsidR="00916707" w:rsidRPr="009D6E13">
        <w:rPr>
          <w:bCs/>
          <w:sz w:val="28"/>
          <w:szCs w:val="28"/>
          <w:lang w:val="en-US"/>
        </w:rPr>
        <w:t>Legea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Republicii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Moldova nr. 436- XVI din 28.12.2006 </w:t>
      </w:r>
      <w:proofErr w:type="spellStart"/>
      <w:r w:rsidR="00916707" w:rsidRPr="009D6E13">
        <w:rPr>
          <w:bCs/>
          <w:sz w:val="28"/>
          <w:szCs w:val="28"/>
          <w:lang w:val="en-US"/>
        </w:rPr>
        <w:t>privind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administrația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publică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locală</w:t>
      </w:r>
      <w:proofErr w:type="spellEnd"/>
      <w:proofErr w:type="gramStart"/>
      <w:r w:rsidR="00916707" w:rsidRPr="009D6E13">
        <w:rPr>
          <w:bCs/>
          <w:sz w:val="28"/>
          <w:szCs w:val="28"/>
          <w:lang w:val="en-US"/>
        </w:rPr>
        <w:t xml:space="preserve">,  </w:t>
      </w:r>
      <w:proofErr w:type="spellStart"/>
      <w:r w:rsidR="00916707" w:rsidRPr="009D6E13">
        <w:rPr>
          <w:bCs/>
          <w:sz w:val="28"/>
          <w:szCs w:val="28"/>
          <w:lang w:val="en-US"/>
        </w:rPr>
        <w:t>Hotărîrii</w:t>
      </w:r>
      <w:proofErr w:type="spellEnd"/>
      <w:proofErr w:type="gram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Guvernului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Republicii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Moldova nr. 500 din 12.05.1998</w:t>
      </w:r>
      <w:r w:rsidR="00A22593" w:rsidRPr="009D6E13">
        <w:rPr>
          <w:bCs/>
          <w:sz w:val="28"/>
          <w:szCs w:val="28"/>
          <w:lang w:val="en-US"/>
        </w:rPr>
        <w:t>,</w:t>
      </w:r>
      <w:r w:rsidR="00A22593" w:rsidRPr="00EF78DD">
        <w:rPr>
          <w:sz w:val="28"/>
          <w:szCs w:val="28"/>
          <w:lang w:val="ro-RO"/>
        </w:rPr>
        <w:t>prevederile Regulamentului Instituţiei Medico-S</w:t>
      </w:r>
      <w:r w:rsidR="00A22593">
        <w:rPr>
          <w:sz w:val="28"/>
          <w:szCs w:val="28"/>
          <w:lang w:val="ro-RO"/>
        </w:rPr>
        <w:t>anitare</w:t>
      </w:r>
      <w:r w:rsidR="00A22593" w:rsidRPr="00EF78DD">
        <w:rPr>
          <w:sz w:val="28"/>
          <w:szCs w:val="28"/>
          <w:lang w:val="ro-RO"/>
        </w:rPr>
        <w:t xml:space="preserve"> Publice Spitalul Raional Cimişlia aprobat prin decizia Consiliul Raional Cimişlia nr.05/16 din 26.10.2017</w:t>
      </w:r>
      <w:r w:rsidR="00A22593">
        <w:rPr>
          <w:sz w:val="28"/>
          <w:szCs w:val="28"/>
          <w:lang w:val="ro-RO"/>
        </w:rPr>
        <w:t>,</w:t>
      </w:r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propun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să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fie </w:t>
      </w:r>
      <w:proofErr w:type="spellStart"/>
      <w:r w:rsidR="00916707" w:rsidRPr="009D6E13">
        <w:rPr>
          <w:bCs/>
          <w:sz w:val="28"/>
          <w:szCs w:val="28"/>
          <w:lang w:val="en-US"/>
        </w:rPr>
        <w:t>aprobat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acest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proiect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și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de </w:t>
      </w:r>
      <w:proofErr w:type="spellStart"/>
      <w:r w:rsidR="00916707" w:rsidRPr="009D6E13">
        <w:rPr>
          <w:bCs/>
          <w:sz w:val="28"/>
          <w:szCs w:val="28"/>
          <w:lang w:val="en-US"/>
        </w:rPr>
        <w:t>a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casa </w:t>
      </w:r>
      <w:proofErr w:type="spellStart"/>
      <w:r w:rsidR="00916707" w:rsidRPr="009D6E13">
        <w:rPr>
          <w:bCs/>
          <w:sz w:val="28"/>
          <w:szCs w:val="28"/>
          <w:lang w:val="en-US"/>
        </w:rPr>
        <w:t>mijloacele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fixe,  </w:t>
      </w:r>
      <w:proofErr w:type="spellStart"/>
      <w:r w:rsidR="00916707" w:rsidRPr="009D6E13">
        <w:rPr>
          <w:bCs/>
          <w:sz w:val="28"/>
          <w:szCs w:val="28"/>
          <w:lang w:val="en-US"/>
        </w:rPr>
        <w:t>aflate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în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gestiunea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r w:rsidR="00FA75E3" w:rsidRPr="009D6E13">
        <w:rPr>
          <w:bCs/>
          <w:sz w:val="28"/>
          <w:szCs w:val="28"/>
          <w:lang w:val="en-US"/>
        </w:rPr>
        <w:t xml:space="preserve"> IMSP SR </w:t>
      </w:r>
      <w:proofErr w:type="spellStart"/>
      <w:r w:rsidR="00FA75E3" w:rsidRPr="009D6E13">
        <w:rPr>
          <w:bCs/>
          <w:sz w:val="28"/>
          <w:szCs w:val="28"/>
          <w:lang w:val="en-US"/>
        </w:rPr>
        <w:t>Cimișlia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în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sumă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de </w:t>
      </w:r>
      <w:r w:rsidR="00FA75E3">
        <w:rPr>
          <w:b/>
          <w:bCs/>
          <w:sz w:val="28"/>
          <w:szCs w:val="28"/>
          <w:lang w:val="en-US"/>
        </w:rPr>
        <w:t>341774,0</w:t>
      </w:r>
      <w:r w:rsidR="00916707" w:rsidRPr="00916707">
        <w:rPr>
          <w:b/>
          <w:bCs/>
          <w:sz w:val="28"/>
          <w:szCs w:val="28"/>
          <w:lang w:val="en-US"/>
        </w:rPr>
        <w:t>0</w:t>
      </w:r>
      <w:r w:rsidR="00916707" w:rsidRPr="009D6E13">
        <w:rPr>
          <w:bCs/>
          <w:sz w:val="28"/>
          <w:szCs w:val="28"/>
          <w:lang w:val="en-US"/>
        </w:rPr>
        <w:t xml:space="preserve"> lei. </w:t>
      </w:r>
      <w:proofErr w:type="spellStart"/>
      <w:r w:rsidR="00916707" w:rsidRPr="009D6E13">
        <w:rPr>
          <w:bCs/>
          <w:sz w:val="28"/>
          <w:szCs w:val="28"/>
          <w:lang w:val="en-US"/>
        </w:rPr>
        <w:t>Aceste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mijloace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fixe </w:t>
      </w:r>
      <w:proofErr w:type="spellStart"/>
      <w:r w:rsidR="00916707" w:rsidRPr="009D6E13">
        <w:rPr>
          <w:bCs/>
          <w:sz w:val="28"/>
          <w:szCs w:val="28"/>
          <w:lang w:val="en-US"/>
        </w:rPr>
        <w:t>casate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vor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fi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trecute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la </w:t>
      </w:r>
      <w:proofErr w:type="spellStart"/>
      <w:r w:rsidR="00916707" w:rsidRPr="009D6E13">
        <w:rPr>
          <w:bCs/>
          <w:sz w:val="28"/>
          <w:szCs w:val="28"/>
          <w:lang w:val="en-US"/>
        </w:rPr>
        <w:t>pierderi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conform </w:t>
      </w:r>
      <w:proofErr w:type="spellStart"/>
      <w:r w:rsidR="00916707" w:rsidRPr="009D6E13">
        <w:rPr>
          <w:bCs/>
          <w:sz w:val="28"/>
          <w:szCs w:val="28"/>
          <w:lang w:val="en-US"/>
        </w:rPr>
        <w:t>prezentei</w:t>
      </w:r>
      <w:proofErr w:type="spellEnd"/>
      <w:r w:rsidR="00916707" w:rsidRPr="009D6E13">
        <w:rPr>
          <w:bCs/>
          <w:sz w:val="28"/>
          <w:szCs w:val="28"/>
          <w:lang w:val="en-US"/>
        </w:rPr>
        <w:t xml:space="preserve"> </w:t>
      </w:r>
      <w:proofErr w:type="spellStart"/>
      <w:r w:rsidR="00916707" w:rsidRPr="009D6E13">
        <w:rPr>
          <w:bCs/>
          <w:sz w:val="28"/>
          <w:szCs w:val="28"/>
          <w:lang w:val="en-US"/>
        </w:rPr>
        <w:t>decizii</w:t>
      </w:r>
      <w:proofErr w:type="spellEnd"/>
    </w:p>
    <w:p w:rsidR="00916707" w:rsidRDefault="00916707" w:rsidP="009D6E13">
      <w:pPr>
        <w:ind w:firstLine="708"/>
        <w:jc w:val="both"/>
        <w:rPr>
          <w:bCs/>
          <w:sz w:val="28"/>
          <w:szCs w:val="28"/>
          <w:lang w:val="en-US"/>
        </w:rPr>
      </w:pPr>
    </w:p>
    <w:p w:rsidR="00916707" w:rsidRDefault="00916707" w:rsidP="009D6E13">
      <w:pPr>
        <w:ind w:firstLine="708"/>
        <w:rPr>
          <w:bCs/>
          <w:sz w:val="28"/>
          <w:szCs w:val="28"/>
          <w:lang w:val="en-US"/>
        </w:rPr>
      </w:pPr>
    </w:p>
    <w:p w:rsidR="00916707" w:rsidRDefault="00916707" w:rsidP="009D6E13">
      <w:pPr>
        <w:ind w:firstLine="708"/>
        <w:rPr>
          <w:bCs/>
          <w:sz w:val="28"/>
          <w:szCs w:val="28"/>
          <w:lang w:val="en-US"/>
        </w:rPr>
      </w:pPr>
    </w:p>
    <w:p w:rsidR="00916707" w:rsidRDefault="00916707" w:rsidP="009D6E13">
      <w:pPr>
        <w:ind w:firstLine="708"/>
        <w:rPr>
          <w:bCs/>
          <w:sz w:val="28"/>
          <w:szCs w:val="28"/>
          <w:lang w:val="en-US"/>
        </w:rPr>
      </w:pPr>
    </w:p>
    <w:p w:rsidR="0071073C" w:rsidRPr="009D6E13" w:rsidRDefault="0071073C" w:rsidP="009D6E13">
      <w:pPr>
        <w:rPr>
          <w:sz w:val="28"/>
          <w:szCs w:val="28"/>
          <w:lang w:val="en-US" w:bidi="sa-IN"/>
        </w:rPr>
      </w:pPr>
    </w:p>
    <w:p w:rsidR="00020BBD" w:rsidRPr="00916707" w:rsidRDefault="00020BBD" w:rsidP="009D6E13">
      <w:pPr>
        <w:rPr>
          <w:sz w:val="28"/>
          <w:szCs w:val="28"/>
          <w:lang w:val="en-US" w:bidi="sa-IN"/>
        </w:rPr>
      </w:pPr>
    </w:p>
    <w:p w:rsidR="00020BBD" w:rsidRPr="00020BBD" w:rsidRDefault="00020BBD" w:rsidP="009D6E13">
      <w:pPr>
        <w:rPr>
          <w:sz w:val="28"/>
          <w:szCs w:val="28"/>
          <w:lang w:val="en-US" w:bidi="sa-IN"/>
        </w:rPr>
      </w:pPr>
    </w:p>
    <w:p w:rsidR="00FA75E3" w:rsidRPr="00FA75E3" w:rsidRDefault="00FA75E3" w:rsidP="009D6E13">
      <w:pPr>
        <w:rPr>
          <w:b/>
          <w:sz w:val="24"/>
          <w:szCs w:val="24"/>
          <w:lang w:val="en-US"/>
        </w:rPr>
      </w:pPr>
      <w:proofErr w:type="gramStart"/>
      <w:r w:rsidRPr="00FA75E3">
        <w:rPr>
          <w:b/>
          <w:sz w:val="24"/>
          <w:szCs w:val="24"/>
          <w:lang w:val="en-US"/>
        </w:rPr>
        <w:t>Director  IMSP</w:t>
      </w:r>
      <w:proofErr w:type="gramEnd"/>
    </w:p>
    <w:p w:rsidR="00FA75E3" w:rsidRPr="00FA75E3" w:rsidRDefault="00FA75E3" w:rsidP="009D6E13">
      <w:pPr>
        <w:rPr>
          <w:b/>
          <w:sz w:val="24"/>
          <w:szCs w:val="24"/>
          <w:lang w:val="en-US"/>
        </w:rPr>
      </w:pPr>
      <w:proofErr w:type="spellStart"/>
      <w:r w:rsidRPr="00FA75E3">
        <w:rPr>
          <w:b/>
          <w:sz w:val="24"/>
          <w:szCs w:val="24"/>
          <w:lang w:val="en-US"/>
        </w:rPr>
        <w:t>SpitalulRaionalCimislia</w:t>
      </w:r>
      <w:proofErr w:type="spellEnd"/>
      <w:r w:rsidRPr="00FA75E3">
        <w:rPr>
          <w:b/>
          <w:sz w:val="24"/>
          <w:szCs w:val="24"/>
          <w:lang w:val="en-US"/>
        </w:rPr>
        <w:t xml:space="preserve">                                                                    __________M. </w:t>
      </w:r>
      <w:proofErr w:type="spellStart"/>
      <w:r w:rsidRPr="00FA75E3">
        <w:rPr>
          <w:b/>
          <w:sz w:val="24"/>
          <w:szCs w:val="24"/>
          <w:lang w:val="en-US"/>
        </w:rPr>
        <w:t>Florea</w:t>
      </w:r>
      <w:proofErr w:type="spellEnd"/>
    </w:p>
    <w:p w:rsidR="00FA75E3" w:rsidRPr="00FA75E3" w:rsidRDefault="00FA75E3" w:rsidP="009D6E13">
      <w:pPr>
        <w:rPr>
          <w:sz w:val="24"/>
          <w:szCs w:val="24"/>
          <w:lang w:val="en-US"/>
        </w:rPr>
      </w:pPr>
    </w:p>
    <w:p w:rsidR="0071073C" w:rsidRPr="00020BBD" w:rsidRDefault="0071073C" w:rsidP="009D6E13">
      <w:pPr>
        <w:rPr>
          <w:sz w:val="28"/>
          <w:szCs w:val="28"/>
          <w:lang w:val="en-US" w:bidi="sa-IN"/>
        </w:rPr>
      </w:pPr>
    </w:p>
    <w:p w:rsidR="0071073C" w:rsidRPr="00020BBD" w:rsidRDefault="0071073C" w:rsidP="009D6E13">
      <w:pPr>
        <w:rPr>
          <w:sz w:val="28"/>
          <w:szCs w:val="28"/>
          <w:lang w:val="en-US" w:bidi="sa-IN"/>
        </w:rPr>
      </w:pPr>
    </w:p>
    <w:p w:rsidR="0071073C" w:rsidRPr="0071073C" w:rsidRDefault="0071073C" w:rsidP="009D6E13">
      <w:pPr>
        <w:rPr>
          <w:lang w:val="en-US" w:bidi="sa-IN"/>
        </w:rPr>
      </w:pPr>
    </w:p>
    <w:sectPr w:rsidR="0071073C" w:rsidRPr="0071073C" w:rsidSect="00B7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19F"/>
    <w:multiLevelType w:val="hybridMultilevel"/>
    <w:tmpl w:val="1EBA087A"/>
    <w:lvl w:ilvl="0" w:tplc="C3B48B4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1">
    <w:nsid w:val="0BDB05B6"/>
    <w:multiLevelType w:val="hybridMultilevel"/>
    <w:tmpl w:val="E976EF2A"/>
    <w:lvl w:ilvl="0" w:tplc="794264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CF7C1C"/>
    <w:multiLevelType w:val="hybridMultilevel"/>
    <w:tmpl w:val="643E1BEE"/>
    <w:lvl w:ilvl="0" w:tplc="FBEACB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17217163"/>
    <w:multiLevelType w:val="hybridMultilevel"/>
    <w:tmpl w:val="27DA1A98"/>
    <w:lvl w:ilvl="0" w:tplc="C7EAF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CC3576"/>
    <w:multiLevelType w:val="hybridMultilevel"/>
    <w:tmpl w:val="7DA83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C721B"/>
    <w:multiLevelType w:val="hybridMultilevel"/>
    <w:tmpl w:val="3AD6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901FC"/>
    <w:multiLevelType w:val="hybridMultilevel"/>
    <w:tmpl w:val="92985FC4"/>
    <w:lvl w:ilvl="0" w:tplc="3588E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95051B4"/>
    <w:multiLevelType w:val="hybridMultilevel"/>
    <w:tmpl w:val="C4880D68"/>
    <w:lvl w:ilvl="0" w:tplc="CF9AF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36445"/>
    <w:rsid w:val="00020BBD"/>
    <w:rsid w:val="000268AB"/>
    <w:rsid w:val="00036D8F"/>
    <w:rsid w:val="0004029B"/>
    <w:rsid w:val="000465E7"/>
    <w:rsid w:val="000554DB"/>
    <w:rsid w:val="0005766B"/>
    <w:rsid w:val="00072090"/>
    <w:rsid w:val="00084FFC"/>
    <w:rsid w:val="000A484D"/>
    <w:rsid w:val="000A52EF"/>
    <w:rsid w:val="000D7A63"/>
    <w:rsid w:val="000E3179"/>
    <w:rsid w:val="00135A05"/>
    <w:rsid w:val="00155E20"/>
    <w:rsid w:val="00176695"/>
    <w:rsid w:val="0020067F"/>
    <w:rsid w:val="0020144B"/>
    <w:rsid w:val="002106B1"/>
    <w:rsid w:val="00222ED3"/>
    <w:rsid w:val="002250E7"/>
    <w:rsid w:val="00250C88"/>
    <w:rsid w:val="0029499B"/>
    <w:rsid w:val="00330B5F"/>
    <w:rsid w:val="00366E9D"/>
    <w:rsid w:val="003B0E4F"/>
    <w:rsid w:val="003F35F2"/>
    <w:rsid w:val="00401307"/>
    <w:rsid w:val="00414552"/>
    <w:rsid w:val="00417349"/>
    <w:rsid w:val="00427EF8"/>
    <w:rsid w:val="00436DDE"/>
    <w:rsid w:val="00447E2F"/>
    <w:rsid w:val="00473903"/>
    <w:rsid w:val="00497604"/>
    <w:rsid w:val="004B0CA4"/>
    <w:rsid w:val="004B1914"/>
    <w:rsid w:val="004C4EC5"/>
    <w:rsid w:val="004F7162"/>
    <w:rsid w:val="0055682E"/>
    <w:rsid w:val="005A4117"/>
    <w:rsid w:val="005B60EF"/>
    <w:rsid w:val="005C2A93"/>
    <w:rsid w:val="005F4C90"/>
    <w:rsid w:val="006019EF"/>
    <w:rsid w:val="00620AA0"/>
    <w:rsid w:val="00627B6B"/>
    <w:rsid w:val="006328FC"/>
    <w:rsid w:val="006634A3"/>
    <w:rsid w:val="00670B7B"/>
    <w:rsid w:val="00674B2D"/>
    <w:rsid w:val="00677049"/>
    <w:rsid w:val="006835CD"/>
    <w:rsid w:val="006F5585"/>
    <w:rsid w:val="0071073C"/>
    <w:rsid w:val="00712C77"/>
    <w:rsid w:val="00713F69"/>
    <w:rsid w:val="007174B2"/>
    <w:rsid w:val="00730274"/>
    <w:rsid w:val="00741837"/>
    <w:rsid w:val="00756EB1"/>
    <w:rsid w:val="007E0D98"/>
    <w:rsid w:val="007E6355"/>
    <w:rsid w:val="007F153E"/>
    <w:rsid w:val="008459C7"/>
    <w:rsid w:val="00872EA9"/>
    <w:rsid w:val="008C10EE"/>
    <w:rsid w:val="008C7E1C"/>
    <w:rsid w:val="008D5927"/>
    <w:rsid w:val="008E583C"/>
    <w:rsid w:val="008F4E8C"/>
    <w:rsid w:val="00916707"/>
    <w:rsid w:val="00931380"/>
    <w:rsid w:val="00931EDC"/>
    <w:rsid w:val="00932FDC"/>
    <w:rsid w:val="00936445"/>
    <w:rsid w:val="009461DA"/>
    <w:rsid w:val="00947BC0"/>
    <w:rsid w:val="00960384"/>
    <w:rsid w:val="0097075B"/>
    <w:rsid w:val="00977080"/>
    <w:rsid w:val="009828F4"/>
    <w:rsid w:val="009C1C79"/>
    <w:rsid w:val="009C30C9"/>
    <w:rsid w:val="009D6E13"/>
    <w:rsid w:val="009E4AC1"/>
    <w:rsid w:val="009F6621"/>
    <w:rsid w:val="00A22593"/>
    <w:rsid w:val="00A424F9"/>
    <w:rsid w:val="00A97738"/>
    <w:rsid w:val="00AA2F04"/>
    <w:rsid w:val="00AD1438"/>
    <w:rsid w:val="00AD2C05"/>
    <w:rsid w:val="00AE705E"/>
    <w:rsid w:val="00B17881"/>
    <w:rsid w:val="00B17A2F"/>
    <w:rsid w:val="00B2506B"/>
    <w:rsid w:val="00B413A9"/>
    <w:rsid w:val="00B446F8"/>
    <w:rsid w:val="00B748BD"/>
    <w:rsid w:val="00BB2CEA"/>
    <w:rsid w:val="00BF11A2"/>
    <w:rsid w:val="00C34024"/>
    <w:rsid w:val="00C57E43"/>
    <w:rsid w:val="00C60D30"/>
    <w:rsid w:val="00C61412"/>
    <w:rsid w:val="00C71E30"/>
    <w:rsid w:val="00CA3233"/>
    <w:rsid w:val="00CB310F"/>
    <w:rsid w:val="00CD4658"/>
    <w:rsid w:val="00CE3569"/>
    <w:rsid w:val="00D8247F"/>
    <w:rsid w:val="00D84088"/>
    <w:rsid w:val="00D96E8D"/>
    <w:rsid w:val="00DA0E39"/>
    <w:rsid w:val="00DB0B49"/>
    <w:rsid w:val="00E4050D"/>
    <w:rsid w:val="00E4578A"/>
    <w:rsid w:val="00E57B5A"/>
    <w:rsid w:val="00E8427C"/>
    <w:rsid w:val="00E87358"/>
    <w:rsid w:val="00E9506E"/>
    <w:rsid w:val="00E9751C"/>
    <w:rsid w:val="00EE2EB3"/>
    <w:rsid w:val="00EE3A1E"/>
    <w:rsid w:val="00EF7802"/>
    <w:rsid w:val="00EF78DD"/>
    <w:rsid w:val="00EF7F17"/>
    <w:rsid w:val="00F014D6"/>
    <w:rsid w:val="00F128F2"/>
    <w:rsid w:val="00F320B6"/>
    <w:rsid w:val="00F465E8"/>
    <w:rsid w:val="00F47C8A"/>
    <w:rsid w:val="00F51930"/>
    <w:rsid w:val="00F6206A"/>
    <w:rsid w:val="00F949F1"/>
    <w:rsid w:val="00FA514A"/>
    <w:rsid w:val="00FA75E3"/>
    <w:rsid w:val="00FB3956"/>
    <w:rsid w:val="00FB4A08"/>
    <w:rsid w:val="00FC3B1B"/>
    <w:rsid w:val="00FE4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4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36445"/>
    <w:pPr>
      <w:keepNext/>
      <w:outlineLvl w:val="0"/>
    </w:pPr>
    <w:rPr>
      <w:sz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106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44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936445"/>
    <w:rPr>
      <w:rFonts w:eastAsia="Times New Roman" w:cs="Mangal"/>
      <w:sz w:val="22"/>
      <w:lang w:bidi="sa-IN"/>
    </w:rPr>
  </w:style>
  <w:style w:type="paragraph" w:styleId="a4">
    <w:name w:val="List Paragraph"/>
    <w:basedOn w:val="a"/>
    <w:uiPriority w:val="99"/>
    <w:qFormat/>
    <w:rsid w:val="00F320B6"/>
    <w:pPr>
      <w:ind w:left="708"/>
    </w:pPr>
  </w:style>
  <w:style w:type="paragraph" w:styleId="a5">
    <w:name w:val="header"/>
    <w:basedOn w:val="a"/>
    <w:link w:val="a6"/>
    <w:uiPriority w:val="99"/>
    <w:semiHidden/>
    <w:rsid w:val="0067704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77049"/>
    <w:rPr>
      <w:rFonts w:ascii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99"/>
    <w:locked/>
    <w:rsid w:val="00F465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2106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11">
    <w:name w:val="Без интервала1"/>
    <w:uiPriority w:val="1"/>
    <w:qFormat/>
    <w:rsid w:val="002106B1"/>
    <w:rPr>
      <w:rFonts w:eastAsia="Times New Roman" w:cs="Mangal"/>
      <w:sz w:val="22"/>
      <w:lang w:bidi="sa-IN"/>
    </w:rPr>
  </w:style>
  <w:style w:type="character" w:customStyle="1" w:styleId="docheader">
    <w:name w:val="doc_header"/>
    <w:basedOn w:val="a0"/>
    <w:rsid w:val="00473903"/>
  </w:style>
  <w:style w:type="character" w:styleId="a8">
    <w:name w:val="Hyperlink"/>
    <w:basedOn w:val="a0"/>
    <w:uiPriority w:val="99"/>
    <w:unhideWhenUsed/>
    <w:rsid w:val="00F014D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7E4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7E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ioncimisli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C86E7-B688-44E8-B326-9038B41D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</cp:lastModifiedBy>
  <cp:revision>4</cp:revision>
  <cp:lastPrinted>2018-06-13T13:27:00Z</cp:lastPrinted>
  <dcterms:created xsi:type="dcterms:W3CDTF">2018-06-13T12:23:00Z</dcterms:created>
  <dcterms:modified xsi:type="dcterms:W3CDTF">2018-06-13T13:28:00Z</dcterms:modified>
</cp:coreProperties>
</file>