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20" w:rsidRDefault="00813820" w:rsidP="00813820">
      <w:pPr>
        <w:ind w:left="7788" w:firstLine="708"/>
        <w:rPr>
          <w:i/>
          <w:sz w:val="28"/>
          <w:szCs w:val="28"/>
          <w:lang w:val="en-US"/>
        </w:rPr>
      </w:pPr>
    </w:p>
    <w:p w:rsidR="00813820" w:rsidRDefault="00813820" w:rsidP="00813820">
      <w:pPr>
        <w:pStyle w:val="ab"/>
        <w:tabs>
          <w:tab w:val="left" w:pos="6521"/>
        </w:tabs>
        <w:ind w:hanging="142"/>
        <w:jc w:val="left"/>
        <w:rPr>
          <w:b/>
          <w:i/>
          <w:color w:val="000000"/>
          <w:sz w:val="32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2470150</wp:posOffset>
            </wp:positionH>
            <wp:positionV relativeFrom="paragraph">
              <wp:posOffset>8255</wp:posOffset>
            </wp:positionV>
            <wp:extent cx="1201420" cy="1280160"/>
            <wp:effectExtent l="19050" t="0" r="0" b="0"/>
            <wp:wrapTight wrapText="bothSides">
              <wp:wrapPolygon edited="0">
                <wp:start x="-342" y="0"/>
                <wp:lineTo x="-342" y="21214"/>
                <wp:lineTo x="21577" y="21214"/>
                <wp:lineTo x="21577" y="0"/>
                <wp:lineTo x="-342" y="0"/>
              </wp:wrapPolygon>
            </wp:wrapTight>
            <wp:docPr id="2" name="Рисунок 2" descr="Internet Explorer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 Explorer Wallpap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000000"/>
          <w:sz w:val="32"/>
        </w:rPr>
        <w:t xml:space="preserve">Republica Moldova                                                                 </w:t>
      </w:r>
      <w:r>
        <w:rPr>
          <w:b/>
          <w:i/>
          <w:color w:val="000000"/>
          <w:sz w:val="32"/>
          <w:lang w:val="ru-RU"/>
        </w:rPr>
        <w:t>Республика</w:t>
      </w:r>
      <w:r w:rsidRPr="008E492A">
        <w:rPr>
          <w:b/>
          <w:i/>
          <w:color w:val="000000"/>
          <w:sz w:val="32"/>
          <w:lang w:val="en-US"/>
        </w:rPr>
        <w:t xml:space="preserve"> </w:t>
      </w:r>
      <w:r>
        <w:rPr>
          <w:b/>
          <w:i/>
          <w:color w:val="000000"/>
          <w:sz w:val="32"/>
          <w:lang w:val="ru-RU"/>
        </w:rPr>
        <w:t>Молдова</w:t>
      </w:r>
    </w:p>
    <w:p w:rsidR="00813820" w:rsidRPr="008E492A" w:rsidRDefault="00813820" w:rsidP="00813820">
      <w:pPr>
        <w:pStyle w:val="ab"/>
        <w:tabs>
          <w:tab w:val="left" w:pos="6379"/>
        </w:tabs>
        <w:ind w:right="-567" w:hanging="142"/>
        <w:jc w:val="left"/>
        <w:rPr>
          <w:b/>
          <w:i/>
          <w:color w:val="000000"/>
          <w:sz w:val="32"/>
          <w:lang w:val="en-US"/>
        </w:rPr>
      </w:pPr>
      <w:proofErr w:type="spellStart"/>
      <w:r w:rsidRPr="008E492A">
        <w:rPr>
          <w:b/>
          <w:i/>
          <w:color w:val="000000"/>
          <w:sz w:val="32"/>
          <w:lang w:val="en-US"/>
        </w:rPr>
        <w:t>Raionul</w:t>
      </w:r>
      <w:proofErr w:type="spellEnd"/>
      <w:r w:rsidRPr="008E492A">
        <w:rPr>
          <w:b/>
          <w:i/>
          <w:color w:val="000000"/>
          <w:sz w:val="32"/>
          <w:lang w:val="en-US"/>
        </w:rPr>
        <w:t xml:space="preserve"> </w:t>
      </w:r>
      <w:proofErr w:type="spellStart"/>
      <w:r w:rsidRPr="008E492A">
        <w:rPr>
          <w:b/>
          <w:i/>
          <w:color w:val="000000"/>
          <w:sz w:val="32"/>
          <w:lang w:val="en-US"/>
        </w:rPr>
        <w:t>Hînceşti</w:t>
      </w:r>
      <w:proofErr w:type="spellEnd"/>
      <w:r w:rsidRPr="008E492A">
        <w:rPr>
          <w:b/>
          <w:i/>
          <w:color w:val="000000"/>
          <w:sz w:val="32"/>
          <w:lang w:val="en-US"/>
        </w:rPr>
        <w:t xml:space="preserve">                           </w:t>
      </w:r>
      <w:r>
        <w:rPr>
          <w:b/>
          <w:i/>
          <w:color w:val="000000"/>
          <w:sz w:val="32"/>
          <w:lang w:val="ru-RU"/>
        </w:rPr>
        <w:t>Район</w:t>
      </w:r>
      <w:r w:rsidRPr="008E492A">
        <w:rPr>
          <w:b/>
          <w:i/>
          <w:color w:val="000000"/>
          <w:sz w:val="32"/>
          <w:lang w:val="en-US"/>
        </w:rPr>
        <w:t xml:space="preserve"> </w:t>
      </w:r>
      <w:proofErr w:type="spellStart"/>
      <w:r>
        <w:rPr>
          <w:b/>
          <w:i/>
          <w:color w:val="000000"/>
          <w:sz w:val="32"/>
          <w:lang w:val="ru-RU"/>
        </w:rPr>
        <w:t>Хынчешть</w:t>
      </w:r>
      <w:proofErr w:type="spellEnd"/>
      <w:r w:rsidRPr="008E492A">
        <w:rPr>
          <w:b/>
          <w:i/>
          <w:color w:val="000000"/>
          <w:sz w:val="32"/>
          <w:lang w:val="en-US"/>
        </w:rPr>
        <w:t xml:space="preserve">  </w:t>
      </w:r>
    </w:p>
    <w:p w:rsidR="00813820" w:rsidRPr="008E492A" w:rsidRDefault="00813820" w:rsidP="00813820">
      <w:pPr>
        <w:pStyle w:val="ab"/>
        <w:tabs>
          <w:tab w:val="left" w:pos="6379"/>
        </w:tabs>
        <w:ind w:right="-567" w:hanging="142"/>
        <w:jc w:val="left"/>
        <w:rPr>
          <w:b/>
          <w:i/>
          <w:color w:val="000000"/>
          <w:sz w:val="32"/>
          <w:lang w:val="en-US"/>
        </w:rPr>
      </w:pPr>
      <w:proofErr w:type="spellStart"/>
      <w:r>
        <w:rPr>
          <w:b/>
          <w:i/>
          <w:color w:val="000000"/>
          <w:sz w:val="32"/>
          <w:lang w:val="en-US"/>
        </w:rPr>
        <w:t>Primăria</w:t>
      </w:r>
      <w:proofErr w:type="spellEnd"/>
      <w:r w:rsidRPr="008E492A">
        <w:rPr>
          <w:b/>
          <w:i/>
          <w:color w:val="000000"/>
          <w:sz w:val="32"/>
          <w:lang w:val="en-US"/>
        </w:rPr>
        <w:t xml:space="preserve"> </w:t>
      </w:r>
      <w:proofErr w:type="spellStart"/>
      <w:r w:rsidRPr="008E492A">
        <w:rPr>
          <w:b/>
          <w:i/>
          <w:color w:val="000000"/>
          <w:sz w:val="32"/>
          <w:lang w:val="en-US"/>
        </w:rPr>
        <w:t>Buţeni</w:t>
      </w:r>
      <w:proofErr w:type="spellEnd"/>
      <w:r w:rsidRPr="008E492A">
        <w:rPr>
          <w:b/>
          <w:i/>
          <w:color w:val="000000"/>
          <w:sz w:val="32"/>
          <w:lang w:val="en-US"/>
        </w:rPr>
        <w:t xml:space="preserve">                                                       </w:t>
      </w:r>
      <w:proofErr w:type="spellStart"/>
      <w:r>
        <w:rPr>
          <w:b/>
          <w:i/>
          <w:color w:val="000000"/>
          <w:sz w:val="32"/>
          <w:lang w:val="ru-RU"/>
        </w:rPr>
        <w:t>Примэрия</w:t>
      </w:r>
      <w:proofErr w:type="spellEnd"/>
      <w:r w:rsidRPr="006848AE">
        <w:rPr>
          <w:b/>
          <w:i/>
          <w:color w:val="000000"/>
          <w:sz w:val="32"/>
          <w:lang w:val="en-US"/>
        </w:rPr>
        <w:t xml:space="preserve"> </w:t>
      </w:r>
      <w:proofErr w:type="spellStart"/>
      <w:r>
        <w:rPr>
          <w:b/>
          <w:i/>
          <w:color w:val="000000"/>
          <w:sz w:val="32"/>
          <w:lang w:val="ru-RU"/>
        </w:rPr>
        <w:t>Буцень</w:t>
      </w:r>
      <w:proofErr w:type="spellEnd"/>
    </w:p>
    <w:p w:rsidR="00813820" w:rsidRPr="008E492A" w:rsidRDefault="00813820" w:rsidP="00813820">
      <w:pPr>
        <w:pStyle w:val="ab"/>
        <w:ind w:right="-567" w:hanging="142"/>
        <w:jc w:val="left"/>
        <w:rPr>
          <w:b/>
          <w:i/>
          <w:color w:val="000000"/>
          <w:lang w:val="en-US"/>
        </w:rPr>
      </w:pPr>
      <w:r>
        <w:rPr>
          <w:b/>
          <w:i/>
          <w:color w:val="000000"/>
        </w:rPr>
        <w:t>MD-3417, satul Buţeni, raionul Hînceşti</w:t>
      </w:r>
      <w:r w:rsidRPr="008E492A">
        <w:rPr>
          <w:b/>
          <w:i/>
          <w:color w:val="000000"/>
          <w:lang w:val="en-US"/>
        </w:rPr>
        <w:t xml:space="preserve">            </w:t>
      </w:r>
      <w:r>
        <w:rPr>
          <w:b/>
          <w:i/>
          <w:color w:val="000000"/>
          <w:lang w:val="ru-RU"/>
        </w:rPr>
        <w:t>МД</w:t>
      </w:r>
      <w:r w:rsidRPr="008E492A">
        <w:rPr>
          <w:b/>
          <w:i/>
          <w:color w:val="000000"/>
          <w:lang w:val="en-US"/>
        </w:rPr>
        <w:t xml:space="preserve">-3417, </w:t>
      </w:r>
      <w:r>
        <w:rPr>
          <w:b/>
          <w:i/>
          <w:color w:val="000000"/>
          <w:lang w:val="ru-RU"/>
        </w:rPr>
        <w:t>село</w:t>
      </w:r>
      <w:r w:rsidRPr="008E492A">
        <w:rPr>
          <w:b/>
          <w:i/>
          <w:color w:val="000000"/>
          <w:lang w:val="en-US"/>
        </w:rPr>
        <w:t xml:space="preserve"> </w:t>
      </w:r>
      <w:proofErr w:type="spellStart"/>
      <w:r>
        <w:rPr>
          <w:b/>
          <w:i/>
          <w:color w:val="000000"/>
          <w:lang w:val="ru-RU"/>
        </w:rPr>
        <w:t>Буцень</w:t>
      </w:r>
      <w:proofErr w:type="spellEnd"/>
      <w:r w:rsidRPr="008E492A">
        <w:rPr>
          <w:b/>
          <w:i/>
          <w:color w:val="000000"/>
          <w:lang w:val="en-US"/>
        </w:rPr>
        <w:t xml:space="preserve">, </w:t>
      </w:r>
      <w:proofErr w:type="spellStart"/>
      <w:r>
        <w:rPr>
          <w:b/>
          <w:i/>
          <w:color w:val="000000"/>
          <w:lang w:val="ru-RU"/>
        </w:rPr>
        <w:t>р</w:t>
      </w:r>
      <w:proofErr w:type="spellEnd"/>
      <w:r w:rsidRPr="008E492A">
        <w:rPr>
          <w:b/>
          <w:i/>
          <w:color w:val="000000"/>
          <w:lang w:val="en-US"/>
        </w:rPr>
        <w:t xml:space="preserve">. </w:t>
      </w:r>
      <w:proofErr w:type="spellStart"/>
      <w:r>
        <w:rPr>
          <w:b/>
          <w:i/>
          <w:color w:val="000000"/>
          <w:lang w:val="ru-RU"/>
        </w:rPr>
        <w:t>Хынчешть</w:t>
      </w:r>
      <w:proofErr w:type="spellEnd"/>
      <w:r w:rsidRPr="008E492A">
        <w:rPr>
          <w:b/>
          <w:i/>
          <w:color w:val="000000"/>
          <w:lang w:val="en-US"/>
        </w:rPr>
        <w:t xml:space="preserve">                                                                     </w:t>
      </w:r>
    </w:p>
    <w:p w:rsidR="00813820" w:rsidRDefault="00813820" w:rsidP="00813820">
      <w:pPr>
        <w:pStyle w:val="ab"/>
        <w:ind w:hanging="142"/>
        <w:jc w:val="left"/>
        <w:rPr>
          <w:b/>
          <w:i/>
          <w:color w:val="000000"/>
          <w:lang w:val="ru-RU"/>
        </w:rPr>
      </w:pPr>
      <w:r>
        <w:rPr>
          <w:b/>
          <w:i/>
          <w:color w:val="000000"/>
        </w:rPr>
        <w:t>Tel. 52-3-0</w:t>
      </w:r>
      <w:r>
        <w:rPr>
          <w:b/>
          <w:i/>
          <w:color w:val="000000"/>
          <w:lang w:val="ru-RU"/>
        </w:rPr>
        <w:t>2</w:t>
      </w:r>
      <w:r>
        <w:rPr>
          <w:b/>
          <w:i/>
          <w:color w:val="000000"/>
        </w:rPr>
        <w:t>/ 52-2-38/ 52-2-36</w:t>
      </w:r>
      <w:r>
        <w:rPr>
          <w:b/>
          <w:i/>
          <w:color w:val="000000"/>
          <w:lang w:val="ru-RU"/>
        </w:rPr>
        <w:t xml:space="preserve">                                                                               Тел. 52-3-02/ 52-2-38/ 52-2-36</w:t>
      </w:r>
    </w:p>
    <w:p w:rsidR="00813820" w:rsidRDefault="00813820" w:rsidP="00813820">
      <w:pPr>
        <w:pStyle w:val="ab"/>
        <w:tabs>
          <w:tab w:val="left" w:pos="6379"/>
        </w:tabs>
        <w:ind w:left="-142" w:right="-709"/>
        <w:jc w:val="left"/>
        <w:rPr>
          <w:b/>
          <w:i/>
          <w:lang w:val="ru-RU"/>
        </w:rPr>
      </w:pPr>
      <w:r>
        <w:rPr>
          <w:b/>
          <w:i/>
        </w:rPr>
        <w:t xml:space="preserve">C/d 230100000003509, Trezoreria Centrală </w:t>
      </w:r>
      <w:r>
        <w:rPr>
          <w:b/>
          <w:i/>
          <w:lang w:val="ru-RU"/>
        </w:rPr>
        <w:t xml:space="preserve">                                                                 Р/с </w:t>
      </w:r>
      <w:r>
        <w:rPr>
          <w:b/>
          <w:i/>
        </w:rPr>
        <w:t xml:space="preserve">230100000003509, </w:t>
      </w:r>
      <w:r>
        <w:rPr>
          <w:b/>
          <w:i/>
          <w:sz w:val="16"/>
          <w:szCs w:val="16"/>
          <w:lang w:val="ru-RU"/>
        </w:rPr>
        <w:t>Центральное Казначейство</w:t>
      </w:r>
      <w:r>
        <w:rPr>
          <w:b/>
          <w:i/>
          <w:lang w:val="ru-RU"/>
        </w:rPr>
        <w:t xml:space="preserve">                                                </w:t>
      </w:r>
    </w:p>
    <w:p w:rsidR="00813820" w:rsidRDefault="00813820" w:rsidP="00813820">
      <w:pPr>
        <w:pStyle w:val="ab"/>
        <w:ind w:left="-142" w:right="-358"/>
        <w:jc w:val="left"/>
        <w:rPr>
          <w:b/>
          <w:i/>
          <w:lang w:val="ru-RU"/>
        </w:rPr>
      </w:pPr>
      <w:r>
        <w:rPr>
          <w:b/>
          <w:i/>
        </w:rPr>
        <w:t xml:space="preserve"> c/bTREZMD2X, c/f 1008601000536</w:t>
      </w:r>
      <w:r>
        <w:rPr>
          <w:b/>
          <w:i/>
          <w:lang w:val="ru-RU"/>
        </w:rPr>
        <w:t xml:space="preserve">                         б/к ТРЕЗМД</w:t>
      </w:r>
      <w:r>
        <w:rPr>
          <w:b/>
          <w:i/>
        </w:rPr>
        <w:t>2X,</w:t>
      </w:r>
      <w:r>
        <w:rPr>
          <w:b/>
          <w:i/>
          <w:lang w:val="ru-RU"/>
        </w:rPr>
        <w:t xml:space="preserve"> </w:t>
      </w:r>
      <w:proofErr w:type="spellStart"/>
      <w:r>
        <w:rPr>
          <w:b/>
          <w:i/>
          <w:lang w:val="ru-RU"/>
        </w:rPr>
        <w:t>ф</w:t>
      </w:r>
      <w:proofErr w:type="spellEnd"/>
      <w:r>
        <w:rPr>
          <w:b/>
          <w:i/>
          <w:lang w:val="ru-RU"/>
        </w:rPr>
        <w:t>/к 1008601000536</w:t>
      </w:r>
    </w:p>
    <w:p w:rsidR="00813820" w:rsidRPr="003F64F7" w:rsidRDefault="00813820" w:rsidP="00813820">
      <w:pPr>
        <w:pStyle w:val="ab"/>
        <w:ind w:left="-142" w:right="-709"/>
        <w:jc w:val="left"/>
        <w:rPr>
          <w:b/>
          <w:i/>
        </w:rPr>
      </w:pPr>
      <w:r w:rsidRPr="003F64F7">
        <w:rPr>
          <w:b/>
          <w:i/>
        </w:rPr>
        <w:t>email</w:t>
      </w:r>
      <w:r>
        <w:rPr>
          <w:b/>
          <w:i/>
        </w:rPr>
        <w:t xml:space="preserve">: </w:t>
      </w:r>
      <w:hyperlink r:id="rId6" w:history="1">
        <w:r w:rsidRPr="00F02F2D">
          <w:rPr>
            <w:rStyle w:val="ad"/>
            <w:rFonts w:eastAsiaTheme="majorEastAsia"/>
            <w:b/>
            <w:i/>
          </w:rPr>
          <w:t>primaria.buteni@gmail.com</w:t>
        </w:r>
      </w:hyperlink>
      <w:r>
        <w:rPr>
          <w:b/>
          <w:i/>
        </w:rPr>
        <w:t xml:space="preserve">                                                               </w:t>
      </w:r>
      <w:r w:rsidRPr="003F64F7">
        <w:rPr>
          <w:b/>
          <w:i/>
        </w:rPr>
        <w:t>email</w:t>
      </w:r>
      <w:r>
        <w:rPr>
          <w:b/>
          <w:i/>
        </w:rPr>
        <w:t>: primaria.buteni@gmail.com</w:t>
      </w:r>
    </w:p>
    <w:p w:rsidR="00813820" w:rsidRDefault="00813820" w:rsidP="00813820">
      <w:pPr>
        <w:pStyle w:val="ab"/>
        <w:ind w:left="-142" w:right="-709"/>
        <w:jc w:val="left"/>
        <w:rPr>
          <w:b/>
          <w:i/>
          <w:color w:val="000000"/>
        </w:rPr>
      </w:pPr>
      <w:r>
        <w:rPr>
          <w:b/>
          <w:i/>
        </w:rPr>
        <w:t>____________________________________________________________________________________________________</w:t>
      </w:r>
    </w:p>
    <w:p w:rsidR="00813820" w:rsidRDefault="00813820" w:rsidP="00813820">
      <w:pPr>
        <w:pStyle w:val="aa"/>
        <w:ind w:left="720" w:hanging="720"/>
        <w:jc w:val="both"/>
        <w:rPr>
          <w:sz w:val="28"/>
          <w:szCs w:val="28"/>
        </w:rPr>
      </w:pPr>
      <w:r w:rsidRPr="00813820">
        <w:rPr>
          <w:sz w:val="28"/>
          <w:szCs w:val="28"/>
        </w:rPr>
        <w:t xml:space="preserve">                                                        </w:t>
      </w:r>
    </w:p>
    <w:p w:rsidR="0012175A" w:rsidRDefault="0012175A" w:rsidP="0012175A">
      <w:pPr>
        <w:pStyle w:val="ae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Style w:val="a8"/>
          <w:rFonts w:ascii="inherit" w:eastAsiaTheme="majorEastAsia" w:hAnsi="inherit" w:cs="Segoe UI"/>
          <w:b/>
          <w:bCs/>
          <w:i w:val="0"/>
          <w:color w:val="666666"/>
          <w:sz w:val="28"/>
          <w:szCs w:val="28"/>
          <w:bdr w:val="none" w:sz="0" w:space="0" w:color="auto" w:frame="1"/>
          <w:lang w:val="en-US"/>
        </w:rPr>
      </w:pP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D E C I Z I E  nr. 11/3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din 11.12.2014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>
        <w:rPr>
          <w:b/>
          <w:sz w:val="28"/>
          <w:szCs w:val="28"/>
          <w:lang w:val="ro-RO"/>
        </w:rPr>
        <w:t>Cu privire la taxele locale”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>În conformitate cu Titlul VII al Codului Fiscal, Legea pentru punerea în aplicare a Titlului VII Taxele locale, art.14, alin. 2, lit. a al Legii privind administraţia publică locală nr.436-XVI din 28.12.2006, precum şi în scopul asigurării părţii de venituri a bugetului, Consiliul sătesc Buţeni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</w:t>
      </w:r>
      <w:r>
        <w:rPr>
          <w:b/>
          <w:sz w:val="28"/>
          <w:szCs w:val="28"/>
          <w:lang w:val="ro-RO"/>
        </w:rPr>
        <w:t>D E C I D E: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1. Se aprobă începînd cu 01.01.2015 următoarele taxe locale: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taxa pentru amenajarea teritoriului;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taxa pentru unităţile comerciale şi/sau prestări servicii 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taxa pentru  salubrizare.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2. Subiecţi ai impunerii taxelor, obiectul impunerii, baza impozabilă, unitatea de măsură a cotei, termenul de plată şi prezentare a dării de seamă: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a) taxa pentru amenajarea teritoriului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persoanele juridice sau fizice, înregistrate în calitate de întreprinzător, care dispun de bază impozabilă;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salariaţii şi/sau fondatorii întreprinderilor care nu sunt incluşi în efectivul trimestrial de salariaţi;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numărul mediu scriptic trimestrial al salariaţilor şi/sau fondatorii  întreprinderilor în cazul în care aceştea activează în întreprinderile fondate, însă nu sunt incluşi în efectivul trimestrial de salariaţi;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- 50 lei anual pentru fiecare salariat şi/sau fondatoral întreprinderii, în cazul în care acesta activează în întreprinderea fondată, însă nu este inclus în efectivul trimestrial de salariaţi;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Calculul, colectarea taxei , virarea la buget şi prezentarea dărilor de seamă pentru Gospodăriile Ţărăneşti se efectuiază de specialistul primăriei în problemele perceperii fiscale.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b) taxa pentru unităţile comerciale şi/sau de prestări servicii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persoanele juridice sau fizice, înregistrate în calitate de întreprinzător, care dispun de unităţi comerciale şi/sau de prestări servicii;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unităţile de comerţ şi/sau de prestări servicii;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baza impozabilă şi unitatea de măsură a cotei: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Magazine „Alimentara”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</w:t>
      </w:r>
      <w:r>
        <w:rPr>
          <w:b/>
          <w:sz w:val="28"/>
          <w:szCs w:val="28"/>
          <w:lang w:val="ro-RO"/>
        </w:rPr>
        <w:t xml:space="preserve">-  de la </w:t>
      </w:r>
      <w:smartTag w:uri="urn:schemas-microsoft-com:office:smarttags" w:element="metricconverter">
        <w:smartTagPr>
          <w:attr w:name="ProductID" w:val="10 mﾲ"/>
        </w:smartTagPr>
        <w:r>
          <w:rPr>
            <w:b/>
            <w:sz w:val="28"/>
            <w:szCs w:val="28"/>
            <w:lang w:val="ro-RO"/>
          </w:rPr>
          <w:t>10 m²</w:t>
        </w:r>
      </w:smartTag>
      <w:r>
        <w:rPr>
          <w:b/>
          <w:sz w:val="28"/>
          <w:szCs w:val="28"/>
          <w:lang w:val="ro-RO"/>
        </w:rPr>
        <w:t xml:space="preserve"> pînă la </w:t>
      </w:r>
      <w:smartTag w:uri="urn:schemas-microsoft-com:office:smarttags" w:element="metricconverter">
        <w:smartTagPr>
          <w:attr w:name="ProductID" w:val="20 mﾲ"/>
        </w:smartTagPr>
        <w:r>
          <w:rPr>
            <w:b/>
            <w:sz w:val="28"/>
            <w:szCs w:val="28"/>
            <w:lang w:val="ro-RO"/>
          </w:rPr>
          <w:t>20 m²</w:t>
        </w:r>
      </w:smartTag>
      <w:r>
        <w:rPr>
          <w:b/>
          <w:sz w:val="28"/>
          <w:szCs w:val="28"/>
          <w:lang w:val="ro-RO"/>
        </w:rPr>
        <w:t xml:space="preserve">                -  1250 lei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-  de la </w:t>
      </w:r>
      <w:smartTag w:uri="urn:schemas-microsoft-com:office:smarttags" w:element="metricconverter">
        <w:smartTagPr>
          <w:attr w:name="ProductID" w:val="21 mﾲ"/>
        </w:smartTagPr>
        <w:r>
          <w:rPr>
            <w:b/>
            <w:sz w:val="28"/>
            <w:szCs w:val="28"/>
            <w:lang w:val="ro-RO"/>
          </w:rPr>
          <w:t>21 m²</w:t>
        </w:r>
      </w:smartTag>
      <w:r>
        <w:rPr>
          <w:b/>
          <w:sz w:val="28"/>
          <w:szCs w:val="28"/>
          <w:lang w:val="ro-RO"/>
        </w:rPr>
        <w:t xml:space="preserve"> pînă la </w:t>
      </w:r>
      <w:smartTag w:uri="urn:schemas-microsoft-com:office:smarttags" w:element="metricconverter">
        <w:smartTagPr>
          <w:attr w:name="ProductID" w:val="40 mﾲ"/>
        </w:smartTagPr>
        <w:r>
          <w:rPr>
            <w:b/>
            <w:sz w:val="28"/>
            <w:szCs w:val="28"/>
            <w:lang w:val="ro-RO"/>
          </w:rPr>
          <w:t>40 m²</w:t>
        </w:r>
      </w:smartTag>
      <w:r>
        <w:rPr>
          <w:b/>
          <w:sz w:val="28"/>
          <w:szCs w:val="28"/>
          <w:lang w:val="ro-RO"/>
        </w:rPr>
        <w:t xml:space="preserve">                -  1800 lei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-  de la </w:t>
      </w:r>
      <w:smartTag w:uri="urn:schemas-microsoft-com:office:smarttags" w:element="metricconverter">
        <w:smartTagPr>
          <w:attr w:name="ProductID" w:val="41 mﾲ"/>
        </w:smartTagPr>
        <w:r>
          <w:rPr>
            <w:b/>
            <w:sz w:val="28"/>
            <w:szCs w:val="28"/>
            <w:lang w:val="ro-RO"/>
          </w:rPr>
          <w:t>41 m²</w:t>
        </w:r>
      </w:smartTag>
      <w:r>
        <w:rPr>
          <w:b/>
          <w:sz w:val="28"/>
          <w:szCs w:val="28"/>
          <w:lang w:val="ro-RO"/>
        </w:rPr>
        <w:t xml:space="preserve"> pînă la </w:t>
      </w:r>
      <w:smartTag w:uri="urn:schemas-microsoft-com:office:smarttags" w:element="metricconverter">
        <w:smartTagPr>
          <w:attr w:name="ProductID" w:val="50 mﾲ"/>
        </w:smartTagPr>
        <w:r>
          <w:rPr>
            <w:b/>
            <w:sz w:val="28"/>
            <w:szCs w:val="28"/>
            <w:lang w:val="ro-RO"/>
          </w:rPr>
          <w:t>50 m²</w:t>
        </w:r>
      </w:smartTag>
      <w:r>
        <w:rPr>
          <w:b/>
          <w:sz w:val="28"/>
          <w:szCs w:val="28"/>
          <w:lang w:val="ro-RO"/>
        </w:rPr>
        <w:t xml:space="preserve">                -  1900 lei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-  de la </w:t>
      </w:r>
      <w:smartTag w:uri="urn:schemas-microsoft-com:office:smarttags" w:element="metricconverter">
        <w:smartTagPr>
          <w:attr w:name="ProductID" w:val="51 mﾲ"/>
        </w:smartTagPr>
        <w:r>
          <w:rPr>
            <w:b/>
            <w:sz w:val="28"/>
            <w:szCs w:val="28"/>
            <w:lang w:val="ro-RO"/>
          </w:rPr>
          <w:t>51 m²</w:t>
        </w:r>
      </w:smartTag>
      <w:r>
        <w:rPr>
          <w:b/>
          <w:sz w:val="28"/>
          <w:szCs w:val="28"/>
          <w:lang w:val="ro-RO"/>
        </w:rPr>
        <w:t xml:space="preserve"> şi mai mult                   -  2800 lei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Bar           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-  de la </w:t>
      </w:r>
      <w:smartTag w:uri="urn:schemas-microsoft-com:office:smarttags" w:element="metricconverter">
        <w:smartTagPr>
          <w:attr w:name="ProductID" w:val="31 mﾲ"/>
        </w:smartTagPr>
        <w:r>
          <w:rPr>
            <w:b/>
            <w:sz w:val="28"/>
            <w:szCs w:val="28"/>
            <w:lang w:val="ro-RO"/>
          </w:rPr>
          <w:t>31 m²</w:t>
        </w:r>
      </w:smartTag>
      <w:r>
        <w:rPr>
          <w:b/>
          <w:sz w:val="28"/>
          <w:szCs w:val="28"/>
          <w:lang w:val="ro-RO"/>
        </w:rPr>
        <w:t xml:space="preserve"> pînă la </w:t>
      </w:r>
      <w:smartTag w:uri="urn:schemas-microsoft-com:office:smarttags" w:element="metricconverter">
        <w:smartTagPr>
          <w:attr w:name="ProductID" w:val="60 mﾲ"/>
        </w:smartTagPr>
        <w:r>
          <w:rPr>
            <w:b/>
            <w:sz w:val="28"/>
            <w:szCs w:val="28"/>
            <w:lang w:val="ro-RO"/>
          </w:rPr>
          <w:t>60 m²</w:t>
        </w:r>
      </w:smartTag>
      <w:r>
        <w:rPr>
          <w:b/>
          <w:sz w:val="28"/>
          <w:szCs w:val="28"/>
          <w:lang w:val="ro-RO"/>
        </w:rPr>
        <w:t xml:space="preserve">                -  1700 lei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Bar- cafenea        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-  de la </w:t>
      </w:r>
      <w:smartTag w:uri="urn:schemas-microsoft-com:office:smarttags" w:element="metricconverter">
        <w:smartTagPr>
          <w:attr w:name="ProductID" w:val="40 mﾲ"/>
        </w:smartTagPr>
        <w:r>
          <w:rPr>
            <w:b/>
            <w:sz w:val="28"/>
            <w:szCs w:val="28"/>
            <w:lang w:val="ro-RO"/>
          </w:rPr>
          <w:t>40 m²</w:t>
        </w:r>
      </w:smartTag>
      <w:r>
        <w:rPr>
          <w:b/>
          <w:sz w:val="28"/>
          <w:szCs w:val="28"/>
          <w:lang w:val="ro-RO"/>
        </w:rPr>
        <w:t xml:space="preserve"> pînă la </w:t>
      </w:r>
      <w:smartTag w:uri="urn:schemas-microsoft-com:office:smarttags" w:element="metricconverter">
        <w:smartTagPr>
          <w:attr w:name="ProductID" w:val="80 mﾲ"/>
        </w:smartTagPr>
        <w:r>
          <w:rPr>
            <w:b/>
            <w:sz w:val="28"/>
            <w:szCs w:val="28"/>
            <w:lang w:val="ro-RO"/>
          </w:rPr>
          <w:t>80 m²</w:t>
        </w:r>
      </w:smartTag>
      <w:r>
        <w:rPr>
          <w:b/>
          <w:sz w:val="28"/>
          <w:szCs w:val="28"/>
          <w:lang w:val="ro-RO"/>
        </w:rPr>
        <w:t xml:space="preserve">                -  2200 lei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-  de la </w:t>
      </w:r>
      <w:smartTag w:uri="urn:schemas-microsoft-com:office:smarttags" w:element="metricconverter">
        <w:smartTagPr>
          <w:attr w:name="ProductID" w:val="81 mﾲ"/>
        </w:smartTagPr>
        <w:r>
          <w:rPr>
            <w:b/>
            <w:sz w:val="28"/>
            <w:szCs w:val="28"/>
            <w:lang w:val="ro-RO"/>
          </w:rPr>
          <w:t>81 m²</w:t>
        </w:r>
      </w:smartTag>
      <w:r>
        <w:rPr>
          <w:b/>
          <w:sz w:val="28"/>
          <w:szCs w:val="28"/>
          <w:lang w:val="ro-RO"/>
        </w:rPr>
        <w:t xml:space="preserve"> şi mai mult                   -  3500 lei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Magazin depozit  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-  de la </w:t>
      </w:r>
      <w:smartTag w:uri="urn:schemas-microsoft-com:office:smarttags" w:element="metricconverter">
        <w:smartTagPr>
          <w:attr w:name="ProductID" w:val="25 mﾲ"/>
        </w:smartTagPr>
        <w:r>
          <w:rPr>
            <w:b/>
            <w:sz w:val="28"/>
            <w:szCs w:val="28"/>
            <w:lang w:val="ro-RO"/>
          </w:rPr>
          <w:t>25 m²</w:t>
        </w:r>
      </w:smartTag>
      <w:r>
        <w:rPr>
          <w:b/>
          <w:sz w:val="28"/>
          <w:szCs w:val="28"/>
          <w:lang w:val="ro-RO"/>
        </w:rPr>
        <w:t xml:space="preserve"> şi mai mult                   -  2800 lei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c) taxa pentru salubrizare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persoanele fizice înscrise la adresa declarată ca domiciliu;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numărul de persoane fizice înscrise la adresa declarată ca domiciliu;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numărul de persoane fizice înscrise la adresa declarată ca domiciliu, în funcţie de apartament şi bloc sau casă la sol;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- 5 lei lunar  pentru persoanele adulte şi 3 lei lunar pentru pensionari, invalizi şi copii pînă la 18 ani; 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Se împuterniceşte Întreprinderea Municipală „Buţeni-Salubritate”  să efectuieze calculul, colectarea, virarea la buget şi prezentarea dărilor de seamă.</w:t>
      </w:r>
    </w:p>
    <w:p w:rsidR="006E3CF8" w:rsidRDefault="006E3CF8" w:rsidP="006E3CF8">
      <w:pPr>
        <w:jc w:val="both"/>
        <w:rPr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3. Plata taxelor locale:</w:t>
      </w:r>
      <w:r>
        <w:rPr>
          <w:sz w:val="28"/>
          <w:szCs w:val="28"/>
          <w:lang w:val="ro-RO"/>
        </w:rPr>
        <w:t xml:space="preserve"> se achită la contul trezorerial de venituri al bugetului unităţii administrativ-teritoriale.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4. Responsabilitatea</w:t>
      </w:r>
      <w:r>
        <w:rPr>
          <w:sz w:val="28"/>
          <w:szCs w:val="28"/>
          <w:lang w:val="ro-RO"/>
        </w:rPr>
        <w:t xml:space="preserve"> pentru virarea în termen  la bugetul unităţii administrativ-teritoriale a taxelor locale şi prezentarea dărilor de seamă fiscale le revine contibuabililor şi organelor împuternicite.</w:t>
      </w: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Taxele netransferate în termen sînt percepute conform legislaţiei.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5. Prezenta decizie va fi adusă la cunoştinţa contribuabililor şi prezentată IFS Hînceşti în termen de 10 zile de la data adoptării.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</w:p>
    <w:p w:rsidR="006E3CF8" w:rsidRDefault="006E3CF8" w:rsidP="006E3CF8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6. Executarea</w:t>
      </w:r>
      <w:r>
        <w:rPr>
          <w:sz w:val="28"/>
          <w:szCs w:val="28"/>
          <w:lang w:val="ro-RO"/>
        </w:rPr>
        <w:t xml:space="preserve"> punctului 5 al prezentei decizii se atribuie secretarului consiliului local.</w:t>
      </w:r>
    </w:p>
    <w:p w:rsidR="006E3CF8" w:rsidRDefault="006E3CF8" w:rsidP="006E3CF8">
      <w:pPr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</w:t>
      </w:r>
      <w:r>
        <w:rPr>
          <w:b/>
          <w:sz w:val="28"/>
          <w:szCs w:val="28"/>
          <w:lang w:val="ro-RO"/>
        </w:rPr>
        <w:t xml:space="preserve">Preşedinte al şedinţei    </w:t>
      </w:r>
      <w:r>
        <w:rPr>
          <w:sz w:val="20"/>
          <w:szCs w:val="20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               Eremia Alexei</w:t>
      </w:r>
    </w:p>
    <w:p w:rsidR="006E3CF8" w:rsidRDefault="006E3CF8" w:rsidP="006E3CF8">
      <w:pPr>
        <w:ind w:left="360"/>
        <w:jc w:val="both"/>
        <w:rPr>
          <w:b/>
          <w:sz w:val="28"/>
          <w:szCs w:val="28"/>
          <w:lang w:val="ro-RO"/>
        </w:rPr>
      </w:pPr>
    </w:p>
    <w:p w:rsidR="006E3CF8" w:rsidRDefault="006E3CF8" w:rsidP="006E3CF8">
      <w:pPr>
        <w:ind w:left="36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Contrasemnat: </w:t>
      </w:r>
    </w:p>
    <w:p w:rsidR="001E4239" w:rsidRPr="00813820" w:rsidRDefault="006E3CF8" w:rsidP="0012175A">
      <w:pPr>
        <w:ind w:left="360"/>
        <w:jc w:val="both"/>
        <w:rPr>
          <w:lang w:val="ro-RO"/>
        </w:rPr>
      </w:pPr>
      <w:r>
        <w:rPr>
          <w:b/>
          <w:sz w:val="28"/>
          <w:szCs w:val="28"/>
          <w:lang w:val="ro-RO"/>
        </w:rPr>
        <w:t xml:space="preserve">                     Secretarul consiliului    </w:t>
      </w:r>
      <w:r>
        <w:rPr>
          <w:sz w:val="20"/>
          <w:szCs w:val="20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               Barcaru Vera </w:t>
      </w:r>
    </w:p>
    <w:sectPr w:rsidR="001E4239" w:rsidRPr="00813820" w:rsidSect="0087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947A9D"/>
    <w:multiLevelType w:val="hybridMultilevel"/>
    <w:tmpl w:val="5400F0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FADCC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26058"/>
    <w:multiLevelType w:val="hybridMultilevel"/>
    <w:tmpl w:val="238AAAF6"/>
    <w:lvl w:ilvl="0" w:tplc="F648B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82A87"/>
    <w:multiLevelType w:val="hybridMultilevel"/>
    <w:tmpl w:val="F1922AD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820"/>
    <w:rsid w:val="000F7132"/>
    <w:rsid w:val="0012175A"/>
    <w:rsid w:val="001E4239"/>
    <w:rsid w:val="00310EF3"/>
    <w:rsid w:val="003A5B08"/>
    <w:rsid w:val="005E1722"/>
    <w:rsid w:val="006E3CF8"/>
    <w:rsid w:val="00813820"/>
    <w:rsid w:val="00875DFB"/>
    <w:rsid w:val="00901E6B"/>
    <w:rsid w:val="00C7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B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5B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5B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5B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A5B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A5B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A5B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A5B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A5B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A5B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5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A5B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A5B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A5B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A5B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A5B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A5B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A5B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3A5B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A5B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A5B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A5B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qFormat/>
    <w:rsid w:val="003A5B08"/>
    <w:rPr>
      <w:i/>
      <w:iCs/>
    </w:rPr>
  </w:style>
  <w:style w:type="character" w:styleId="a9">
    <w:name w:val="Subtle Emphasis"/>
    <w:basedOn w:val="a0"/>
    <w:uiPriority w:val="19"/>
    <w:qFormat/>
    <w:rsid w:val="003A5B08"/>
    <w:rPr>
      <w:i/>
      <w:iCs/>
      <w:color w:val="808080" w:themeColor="text1" w:themeTint="7F"/>
    </w:rPr>
  </w:style>
  <w:style w:type="paragraph" w:customStyle="1" w:styleId="aa">
    <w:name w:val="Базовый"/>
    <w:rsid w:val="0081382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GB" w:eastAsia="ru-RU" w:bidi="hi-IN"/>
    </w:rPr>
  </w:style>
  <w:style w:type="paragraph" w:styleId="ab">
    <w:name w:val="Body Text"/>
    <w:basedOn w:val="a"/>
    <w:link w:val="ac"/>
    <w:rsid w:val="00813820"/>
    <w:pPr>
      <w:jc w:val="center"/>
    </w:pPr>
    <w:rPr>
      <w:sz w:val="20"/>
      <w:szCs w:val="20"/>
      <w:lang w:val="ro-RO"/>
    </w:rPr>
  </w:style>
  <w:style w:type="character" w:customStyle="1" w:styleId="ac">
    <w:name w:val="Основной текст Знак"/>
    <w:basedOn w:val="a0"/>
    <w:link w:val="ab"/>
    <w:rsid w:val="00813820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styleId="ad">
    <w:name w:val="Hyperlink"/>
    <w:basedOn w:val="a0"/>
    <w:rsid w:val="00813820"/>
    <w:rPr>
      <w:color w:val="0000FF"/>
      <w:u w:val="single"/>
    </w:rPr>
  </w:style>
  <w:style w:type="paragraph" w:styleId="ae">
    <w:name w:val="Normal (Web)"/>
    <w:basedOn w:val="a"/>
    <w:rsid w:val="001217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buten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4706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E-Enter</dc:creator>
  <cp:lastModifiedBy>Sergeolinio :)</cp:lastModifiedBy>
  <cp:revision>2</cp:revision>
  <dcterms:created xsi:type="dcterms:W3CDTF">2015-03-13T20:25:00Z</dcterms:created>
  <dcterms:modified xsi:type="dcterms:W3CDTF">2015-03-13T20:25:00Z</dcterms:modified>
</cp:coreProperties>
</file>