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D90" w:rsidRPr="00962D90" w:rsidRDefault="00441A10" w:rsidP="00962D90">
      <w:pPr>
        <w:shd w:val="clear" w:color="auto" w:fill="FFFFFF"/>
        <w:spacing w:after="150" w:line="288" w:lineRule="atLeast"/>
        <w:textAlignment w:val="baseline"/>
        <w:outlineLvl w:val="1"/>
        <w:rPr>
          <w:rFonts w:ascii="Helvetica" w:eastAsia="Times New Roman" w:hAnsi="Helvetica" w:cs="Times New Roman"/>
          <w:color w:val="000000"/>
          <w:sz w:val="32"/>
          <w:szCs w:val="32"/>
          <w:lang w:eastAsia="ro-RO"/>
        </w:rPr>
      </w:pPr>
      <w:r>
        <w:rPr>
          <w:rFonts w:ascii="Helvetica" w:eastAsia="Times New Roman" w:hAnsi="Helvetica" w:cs="Times New Roman"/>
          <w:color w:val="000000"/>
          <w:sz w:val="32"/>
          <w:szCs w:val="32"/>
          <w:lang w:eastAsia="ro-RO"/>
        </w:rPr>
        <w:t>I</w:t>
      </w:r>
      <w:r w:rsidR="00962D90" w:rsidRPr="00962D90">
        <w:rPr>
          <w:rFonts w:ascii="Helvetica" w:eastAsia="Times New Roman" w:hAnsi="Helvetica" w:cs="Times New Roman"/>
          <w:color w:val="000000"/>
          <w:sz w:val="32"/>
          <w:szCs w:val="32"/>
          <w:lang w:eastAsia="ro-RO"/>
        </w:rPr>
        <w:t>nformaţia privind depunerea petiţiilor</w:t>
      </w:r>
    </w:p>
    <w:p w:rsidR="00962D90" w:rsidRPr="00962D90" w:rsidRDefault="00962D90" w:rsidP="00441A10">
      <w:pPr>
        <w:shd w:val="clear" w:color="auto" w:fill="FFFFFF"/>
        <w:spacing w:after="0" w:line="375" w:lineRule="atLeast"/>
        <w:textAlignment w:val="baseline"/>
        <w:rPr>
          <w:rFonts w:ascii="Helvetica" w:eastAsia="Times New Roman" w:hAnsi="Helvetica" w:cs="Times New Roman"/>
          <w:color w:val="000000"/>
          <w:spacing w:val="8"/>
          <w:sz w:val="23"/>
          <w:szCs w:val="23"/>
          <w:lang w:eastAsia="ro-RO"/>
        </w:rPr>
      </w:pPr>
      <w:r w:rsidRPr="00962D90">
        <w:rPr>
          <w:rFonts w:ascii="inherit" w:eastAsia="Times New Roman" w:hAnsi="inherit" w:cs="Times New Roman"/>
          <w:color w:val="000000"/>
          <w:spacing w:val="8"/>
          <w:sz w:val="23"/>
          <w:szCs w:val="23"/>
          <w:bdr w:val="none" w:sz="0" w:space="0" w:color="auto" w:frame="1"/>
          <w:lang w:eastAsia="ro-RO"/>
        </w:rPr>
        <w:t>La data de 1 aprilie 2019 a intrat în vigoare </w:t>
      </w:r>
      <w:hyperlink r:id="rId5" w:tgtFrame="_blank" w:history="1">
        <w:r w:rsidRPr="00962D90">
          <w:rPr>
            <w:rFonts w:ascii="Helvetica" w:eastAsia="Times New Roman" w:hAnsi="Helvetica" w:cs="Times New Roman"/>
            <w:color w:val="005AA8"/>
            <w:spacing w:val="8"/>
            <w:sz w:val="23"/>
            <w:szCs w:val="23"/>
            <w:bdr w:val="none" w:sz="0" w:space="0" w:color="auto" w:frame="1"/>
            <w:lang w:eastAsia="ro-RO"/>
          </w:rPr>
          <w:t>C</w:t>
        </w:r>
        <w:r w:rsidR="00441A10">
          <w:rPr>
            <w:rFonts w:ascii="Helvetica" w:eastAsia="Times New Roman" w:hAnsi="Helvetica" w:cs="Times New Roman"/>
            <w:color w:val="005AA8"/>
            <w:spacing w:val="8"/>
            <w:sz w:val="23"/>
            <w:szCs w:val="23"/>
            <w:bdr w:val="none" w:sz="0" w:space="0" w:color="auto" w:frame="1"/>
            <w:lang w:eastAsia="ro-RO"/>
          </w:rPr>
          <w:t>odul administrativ al R Moldova, nr.</w:t>
        </w:r>
        <w:r w:rsidRPr="00962D90">
          <w:rPr>
            <w:rFonts w:ascii="Helvetica" w:eastAsia="Times New Roman" w:hAnsi="Helvetica" w:cs="Times New Roman"/>
            <w:color w:val="005AA8"/>
            <w:spacing w:val="8"/>
            <w:sz w:val="23"/>
            <w:szCs w:val="23"/>
            <w:bdr w:val="none" w:sz="0" w:space="0" w:color="auto" w:frame="1"/>
            <w:lang w:eastAsia="ro-RO"/>
          </w:rPr>
          <w:t>116/2018</w:t>
        </w:r>
      </w:hyperlink>
      <w:r w:rsidRPr="00962D90">
        <w:rPr>
          <w:rFonts w:ascii="inherit" w:eastAsia="Times New Roman" w:hAnsi="inherit" w:cs="Times New Roman"/>
          <w:color w:val="000000"/>
          <w:spacing w:val="8"/>
          <w:sz w:val="23"/>
          <w:szCs w:val="23"/>
          <w:bdr w:val="none" w:sz="0" w:space="0" w:color="auto" w:frame="1"/>
          <w:lang w:eastAsia="ro-RO"/>
        </w:rPr>
        <w:t>.</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Prin petiție, în sensul Codului administrativ, se înțelege orice cerere, sesizare sau propunere adresată unei autorități publice de către o persoană fizică sau juridică.</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inherit" w:eastAsia="Times New Roman" w:hAnsi="inherit" w:cs="Times New Roman"/>
          <w:b/>
          <w:bCs/>
          <w:color w:val="000000"/>
          <w:spacing w:val="8"/>
          <w:sz w:val="23"/>
          <w:szCs w:val="23"/>
          <w:bdr w:val="none" w:sz="0" w:space="0" w:color="auto" w:frame="1"/>
          <w:lang w:eastAsia="ro-RO"/>
        </w:rPr>
        <w:t>Petiția poate fi depusă:</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 </w:t>
      </w:r>
      <w:r w:rsidRPr="00962D90">
        <w:rPr>
          <w:rFonts w:ascii="inherit" w:eastAsia="Times New Roman" w:hAnsi="inherit" w:cs="Times New Roman"/>
          <w:i/>
          <w:iCs/>
          <w:color w:val="000000"/>
          <w:spacing w:val="8"/>
          <w:sz w:val="23"/>
          <w:szCs w:val="23"/>
          <w:bdr w:val="none" w:sz="0" w:space="0" w:color="auto" w:frame="1"/>
          <w:lang w:eastAsia="ro-RO"/>
        </w:rPr>
        <w:t>electronic</w:t>
      </w:r>
      <w:r w:rsidRPr="00962D90">
        <w:rPr>
          <w:rFonts w:ascii="Helvetica" w:eastAsia="Times New Roman" w:hAnsi="Helvetica" w:cs="Times New Roman"/>
          <w:color w:val="000000"/>
          <w:spacing w:val="8"/>
          <w:sz w:val="23"/>
          <w:szCs w:val="23"/>
          <w:lang w:eastAsia="ro-RO"/>
        </w:rPr>
        <w:t>, fiind expediată p</w:t>
      </w:r>
      <w:r>
        <w:rPr>
          <w:rFonts w:ascii="Helvetica" w:eastAsia="Times New Roman" w:hAnsi="Helvetica" w:cs="Times New Roman"/>
          <w:color w:val="000000"/>
          <w:spacing w:val="8"/>
          <w:sz w:val="23"/>
          <w:szCs w:val="23"/>
          <w:lang w:eastAsia="ro-RO"/>
        </w:rPr>
        <w:t xml:space="preserve">rin poșta electronică la adresa </w:t>
      </w:r>
      <w:r w:rsidRPr="00962D90">
        <w:rPr>
          <w:rFonts w:ascii="Helvetica" w:eastAsia="Times New Roman" w:hAnsi="Helvetica" w:cs="Times New Roman"/>
          <w:color w:val="0070C0"/>
          <w:spacing w:val="8"/>
          <w:sz w:val="23"/>
          <w:szCs w:val="23"/>
          <w:lang w:eastAsia="ro-RO"/>
        </w:rPr>
        <w:t>primaria.radeni4435@gmail.com</w:t>
      </w:r>
      <w:r w:rsidRPr="00962D90">
        <w:rPr>
          <w:rFonts w:ascii="Helvetica" w:eastAsia="Times New Roman" w:hAnsi="Helvetica" w:cs="Times New Roman"/>
          <w:color w:val="000000"/>
          <w:spacing w:val="8"/>
          <w:sz w:val="23"/>
          <w:szCs w:val="23"/>
          <w:lang w:eastAsia="ro-RO"/>
        </w:rPr>
        <w:t>;</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 prin </w:t>
      </w:r>
      <w:r w:rsidRPr="00962D90">
        <w:rPr>
          <w:rFonts w:ascii="inherit" w:eastAsia="Times New Roman" w:hAnsi="inherit" w:cs="Times New Roman"/>
          <w:i/>
          <w:iCs/>
          <w:color w:val="0070C0"/>
          <w:spacing w:val="8"/>
          <w:sz w:val="23"/>
          <w:szCs w:val="23"/>
          <w:bdr w:val="none" w:sz="0" w:space="0" w:color="auto" w:frame="1"/>
          <w:lang w:eastAsia="ro-RO"/>
        </w:rPr>
        <w:t>intermediul Oficiilor Poștale</w:t>
      </w:r>
      <w:r w:rsidRPr="00962D90">
        <w:rPr>
          <w:rFonts w:ascii="Helvetica" w:eastAsia="Times New Roman" w:hAnsi="Helvetica" w:cs="Times New Roman"/>
          <w:color w:val="0070C0"/>
          <w:spacing w:val="8"/>
          <w:sz w:val="23"/>
          <w:szCs w:val="23"/>
          <w:lang w:eastAsia="ro-RO"/>
        </w:rPr>
        <w:t>;</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 la </w:t>
      </w:r>
      <w:r w:rsidRPr="00962D90">
        <w:rPr>
          <w:rFonts w:ascii="inherit" w:eastAsia="Times New Roman" w:hAnsi="inherit" w:cs="Times New Roman"/>
          <w:i/>
          <w:iCs/>
          <w:color w:val="0070C0"/>
          <w:spacing w:val="8"/>
          <w:sz w:val="23"/>
          <w:szCs w:val="23"/>
          <w:bdr w:val="none" w:sz="0" w:space="0" w:color="auto" w:frame="1"/>
          <w:lang w:eastAsia="ro-RO"/>
        </w:rPr>
        <w:t>sediul  Primăriei  Rădeni</w:t>
      </w:r>
      <w:r w:rsidRPr="00962D90">
        <w:rPr>
          <w:rFonts w:ascii="Helvetica" w:eastAsia="Times New Roman" w:hAnsi="Helvetica" w:cs="Times New Roman"/>
          <w:color w:val="0070C0"/>
          <w:spacing w:val="8"/>
          <w:sz w:val="23"/>
          <w:szCs w:val="23"/>
          <w:lang w:eastAsia="ro-RO"/>
        </w:rPr>
        <w:t xml:space="preserve">, </w:t>
      </w:r>
      <w:r>
        <w:rPr>
          <w:rFonts w:ascii="Helvetica" w:eastAsia="Times New Roman" w:hAnsi="Helvetica" w:cs="Times New Roman"/>
          <w:color w:val="000000"/>
          <w:spacing w:val="8"/>
          <w:sz w:val="23"/>
          <w:szCs w:val="23"/>
          <w:lang w:eastAsia="ro-RO"/>
        </w:rPr>
        <w:t>pentru a fi înregistrată de secretarul Consiliului sătesc</w:t>
      </w:r>
      <w:r w:rsidRPr="00962D90">
        <w:rPr>
          <w:rFonts w:ascii="Helvetica" w:eastAsia="Times New Roman" w:hAnsi="Helvetica" w:cs="Times New Roman"/>
          <w:color w:val="000000"/>
          <w:spacing w:val="8"/>
          <w:sz w:val="23"/>
          <w:szCs w:val="23"/>
          <w:lang w:eastAsia="ro-RO"/>
        </w:rPr>
        <w:t>.</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inherit" w:eastAsia="Times New Roman" w:hAnsi="inherit" w:cs="Times New Roman"/>
          <w:b/>
          <w:bCs/>
          <w:color w:val="000000"/>
          <w:spacing w:val="8"/>
          <w:sz w:val="23"/>
          <w:szCs w:val="23"/>
          <w:bdr w:val="none" w:sz="0" w:space="0" w:color="auto" w:frame="1"/>
          <w:lang w:eastAsia="ro-RO"/>
        </w:rPr>
        <w:t>Cerinţe faţă de petiţie:</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Potrivit art. 75 alin. (1) din Codul administrativ, petiţia conţine următoarele elemente:</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a) numele şi prenumele sau denumirea petiţionarului;</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b) domiciliul sau sediul petiţionarului şi adresa de poştă electronică dacă se solicită răspuns pe această cale;</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c) denumirea autorităţii publice;</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d) obiectul petiţiei şi motivarea acesteia;</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e) semnătura petiţionarului ori a reprezentantului său legal sau împuternicit, iar în cazul petiţiei transmise în formă electronică – </w:t>
      </w:r>
      <w:r w:rsidRPr="00962D90">
        <w:rPr>
          <w:rFonts w:ascii="inherit" w:eastAsia="Times New Roman" w:hAnsi="inherit" w:cs="Times New Roman"/>
          <w:b/>
          <w:bCs/>
          <w:i/>
          <w:iCs/>
          <w:color w:val="000000"/>
          <w:spacing w:val="8"/>
          <w:sz w:val="23"/>
          <w:szCs w:val="23"/>
          <w:bdr w:val="none" w:sz="0" w:space="0" w:color="auto" w:frame="1"/>
          <w:lang w:eastAsia="ro-RO"/>
        </w:rPr>
        <w:t>semnătura electronică.</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 xml:space="preserve">Dacă petiţia nu corespunde cerinţelor prevăzute la art.75 alin.(1) </w:t>
      </w:r>
      <w:proofErr w:type="spellStart"/>
      <w:r w:rsidRPr="00962D90">
        <w:rPr>
          <w:rFonts w:ascii="Helvetica" w:eastAsia="Times New Roman" w:hAnsi="Helvetica" w:cs="Times New Roman"/>
          <w:color w:val="000000"/>
          <w:spacing w:val="8"/>
          <w:sz w:val="23"/>
          <w:szCs w:val="23"/>
          <w:lang w:eastAsia="ro-RO"/>
        </w:rPr>
        <w:t>lit.c</w:t>
      </w:r>
      <w:proofErr w:type="spellEnd"/>
      <w:r w:rsidRPr="00962D90">
        <w:rPr>
          <w:rFonts w:ascii="Helvetica" w:eastAsia="Times New Roman" w:hAnsi="Helvetica" w:cs="Times New Roman"/>
          <w:color w:val="000000"/>
          <w:spacing w:val="8"/>
          <w:sz w:val="23"/>
          <w:szCs w:val="23"/>
          <w:lang w:eastAsia="ro-RO"/>
        </w:rPr>
        <w:t>)–e) din Codul administrativ, solicitantului i se indică asupra neajunsurilor şi i se acordă un termen rezonabil pentru înlăturarea lor. În cazul în care petiţionarul nu înlătură neajunsurile în termenul acordat, petiţia </w:t>
      </w:r>
      <w:r w:rsidRPr="00962D90">
        <w:rPr>
          <w:rFonts w:ascii="inherit" w:eastAsia="Times New Roman" w:hAnsi="inherit" w:cs="Times New Roman"/>
          <w:b/>
          <w:bCs/>
          <w:i/>
          <w:iCs/>
          <w:color w:val="000000"/>
          <w:spacing w:val="8"/>
          <w:sz w:val="23"/>
          <w:szCs w:val="23"/>
          <w:bdr w:val="none" w:sz="0" w:space="0" w:color="auto" w:frame="1"/>
          <w:lang w:eastAsia="ro-RO"/>
        </w:rPr>
        <w:t>nu se examinează. </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Dacă petiția ține de competența altei autorități publice, originalul petiției se expediază autorității publice competente în termen de 5 zile lucrătoare de la data înregistrării petiției, fapt despre care petiționarul este informat.</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Petiţiile anonime sau cele depuse fără indicarea adresei poştale sau electronice a petiţionarului </w:t>
      </w:r>
      <w:r w:rsidRPr="00962D90">
        <w:rPr>
          <w:rFonts w:ascii="inherit" w:eastAsia="Times New Roman" w:hAnsi="inherit" w:cs="Times New Roman"/>
          <w:b/>
          <w:bCs/>
          <w:i/>
          <w:iCs/>
          <w:color w:val="000000"/>
          <w:spacing w:val="8"/>
          <w:sz w:val="23"/>
          <w:szCs w:val="23"/>
          <w:bdr w:val="none" w:sz="0" w:space="0" w:color="auto" w:frame="1"/>
          <w:lang w:eastAsia="ro-RO"/>
        </w:rPr>
        <w:t>nu se examinează</w:t>
      </w:r>
      <w:r w:rsidRPr="00962D90">
        <w:rPr>
          <w:rFonts w:ascii="Helvetica" w:eastAsia="Times New Roman" w:hAnsi="Helvetica" w:cs="Times New Roman"/>
          <w:color w:val="000000"/>
          <w:spacing w:val="8"/>
          <w:sz w:val="23"/>
          <w:szCs w:val="23"/>
          <w:lang w:eastAsia="ro-RO"/>
        </w:rPr>
        <w:t>.</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Dacă după expedierea răspunsului se depune o nouă petiţie de acelaşi petiţionar, cu acelaşi obiect, aceasta nu se examinează şi se conexează la dosarul iniţial.</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Petiţiile se examinează în termen de 30 de zile, iar din motive justificate legate de complexitatea obiectului procedurii administrative, termenul general poate fi prelungit cu cel mult 15 zile.</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 xml:space="preserve">În mod excepţional, </w:t>
      </w:r>
      <w:proofErr w:type="spellStart"/>
      <w:r w:rsidRPr="00962D90">
        <w:rPr>
          <w:rFonts w:ascii="Helvetica" w:eastAsia="Times New Roman" w:hAnsi="Helvetica" w:cs="Times New Roman"/>
          <w:color w:val="000000"/>
          <w:spacing w:val="8"/>
          <w:sz w:val="23"/>
          <w:szCs w:val="23"/>
          <w:lang w:eastAsia="ro-RO"/>
        </w:rPr>
        <w:t>cînd</w:t>
      </w:r>
      <w:proofErr w:type="spellEnd"/>
      <w:r w:rsidRPr="00962D90">
        <w:rPr>
          <w:rFonts w:ascii="Helvetica" w:eastAsia="Times New Roman" w:hAnsi="Helvetica" w:cs="Times New Roman"/>
          <w:color w:val="000000"/>
          <w:spacing w:val="8"/>
          <w:sz w:val="23"/>
          <w:szCs w:val="23"/>
          <w:lang w:eastAsia="ro-RO"/>
        </w:rPr>
        <w:t xml:space="preserve"> în procedura administrativă se înregistrează cazuri de complexitate deosebită care necesită timp pentru prelucrarea documentelor, autoritatea publică poate stabili un termen mai mare pentru finalizarea procedurii administrative, care nu va depăşi 90 de zile.</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Petiționarul, care nu a primit un răspuns în termenul stabilit de lege, poate verifica statutul petiției, apelând l</w:t>
      </w:r>
      <w:r w:rsidR="00441A10">
        <w:rPr>
          <w:rFonts w:ascii="Helvetica" w:eastAsia="Times New Roman" w:hAnsi="Helvetica" w:cs="Times New Roman"/>
          <w:color w:val="000000"/>
          <w:spacing w:val="8"/>
          <w:sz w:val="23"/>
          <w:szCs w:val="23"/>
          <w:lang w:eastAsia="ro-RO"/>
        </w:rPr>
        <w:t>a următorul număr de telefon 0244-31-2-38</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Pentru mai multe informații privind modul de depunere și examinare a petițiilor, vă recomandăm să consultați:</w:t>
      </w:r>
    </w:p>
    <w:p w:rsidR="00962D90" w:rsidRPr="00962D90" w:rsidRDefault="00962D90" w:rsidP="00962D90">
      <w:pPr>
        <w:shd w:val="clear" w:color="auto" w:fill="FFFFFF"/>
        <w:spacing w:after="0"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Helvetica" w:eastAsia="Times New Roman" w:hAnsi="Helvetica" w:cs="Times New Roman"/>
          <w:color w:val="000000"/>
          <w:spacing w:val="8"/>
          <w:sz w:val="23"/>
          <w:szCs w:val="23"/>
          <w:lang w:eastAsia="ro-RO"/>
        </w:rPr>
        <w:t>a) </w:t>
      </w:r>
      <w:hyperlink r:id="rId6" w:tgtFrame="_blank" w:history="1">
        <w:r w:rsidRPr="00962D90">
          <w:rPr>
            <w:rFonts w:ascii="Helvetica" w:eastAsia="Times New Roman" w:hAnsi="Helvetica" w:cs="Times New Roman"/>
            <w:color w:val="005AA8"/>
            <w:spacing w:val="8"/>
            <w:sz w:val="23"/>
            <w:szCs w:val="23"/>
            <w:bdr w:val="none" w:sz="0" w:space="0" w:color="auto" w:frame="1"/>
            <w:lang w:eastAsia="ro-RO"/>
          </w:rPr>
          <w:t>Codul administrativ al Republicii Moldova nr. 116/2018</w:t>
        </w:r>
      </w:hyperlink>
      <w:r w:rsidRPr="00962D90">
        <w:rPr>
          <w:rFonts w:ascii="inherit" w:eastAsia="Times New Roman" w:hAnsi="inherit" w:cs="Times New Roman"/>
          <w:color w:val="000000"/>
          <w:spacing w:val="8"/>
          <w:sz w:val="23"/>
          <w:szCs w:val="23"/>
          <w:u w:val="single"/>
          <w:bdr w:val="none" w:sz="0" w:space="0" w:color="auto" w:frame="1"/>
          <w:lang w:eastAsia="ro-RO"/>
        </w:rPr>
        <w:t>;</w:t>
      </w:r>
    </w:p>
    <w:p w:rsidR="00C97B5F" w:rsidRPr="00441A10" w:rsidRDefault="00962D90" w:rsidP="00441A10">
      <w:pPr>
        <w:shd w:val="clear" w:color="auto" w:fill="FFFFFF"/>
        <w:spacing w:line="375" w:lineRule="atLeast"/>
        <w:jc w:val="both"/>
        <w:textAlignment w:val="baseline"/>
        <w:rPr>
          <w:rFonts w:ascii="Helvetica" w:eastAsia="Times New Roman" w:hAnsi="Helvetica" w:cs="Times New Roman"/>
          <w:color w:val="000000"/>
          <w:spacing w:val="8"/>
          <w:sz w:val="23"/>
          <w:szCs w:val="23"/>
          <w:lang w:eastAsia="ro-RO"/>
        </w:rPr>
      </w:pPr>
      <w:r w:rsidRPr="00962D90">
        <w:rPr>
          <w:rFonts w:ascii="inherit" w:eastAsia="Times New Roman" w:hAnsi="inherit" w:cs="Times New Roman"/>
          <w:color w:val="000000"/>
          <w:spacing w:val="8"/>
          <w:sz w:val="23"/>
          <w:szCs w:val="23"/>
          <w:bdr w:val="none" w:sz="0" w:space="0" w:color="auto" w:frame="1"/>
          <w:lang w:eastAsia="ro-RO"/>
        </w:rPr>
        <w:t xml:space="preserve">b) </w:t>
      </w:r>
      <w:hyperlink r:id="rId7" w:tgtFrame="_blank" w:history="1">
        <w:r w:rsidRPr="00962D90">
          <w:rPr>
            <w:rFonts w:ascii="inherit" w:eastAsia="Times New Roman" w:hAnsi="inherit" w:cs="Times New Roman"/>
            <w:color w:val="005AA8"/>
            <w:spacing w:val="8"/>
            <w:sz w:val="23"/>
            <w:szCs w:val="23"/>
            <w:bdr w:val="none" w:sz="0" w:space="0" w:color="auto" w:frame="1"/>
            <w:lang w:eastAsia="ro-RO"/>
          </w:rPr>
          <w:t>Legea nr. 91/2014 privind semnătura electronică și documentul electronic</w:t>
        </w:r>
      </w:hyperlink>
      <w:r w:rsidRPr="00962D90">
        <w:rPr>
          <w:rFonts w:ascii="Helvetica" w:eastAsia="Times New Roman" w:hAnsi="Helvetica" w:cs="Times New Roman"/>
          <w:color w:val="000000"/>
          <w:spacing w:val="8"/>
          <w:sz w:val="23"/>
          <w:szCs w:val="23"/>
          <w:lang w:eastAsia="ro-RO"/>
        </w:rPr>
        <w:t>.</w:t>
      </w:r>
      <w:bookmarkStart w:id="0" w:name="_GoBack"/>
      <w:bookmarkEnd w:id="0"/>
    </w:p>
    <w:sectPr w:rsidR="00C97B5F" w:rsidRPr="00441A10" w:rsidSect="00441A10">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D90"/>
    <w:rsid w:val="00441A10"/>
    <w:rsid w:val="00962D90"/>
    <w:rsid w:val="00C97B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962D90"/>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962D90"/>
    <w:rPr>
      <w:rFonts w:ascii="Times New Roman" w:eastAsia="Times New Roman" w:hAnsi="Times New Roman" w:cs="Times New Roman"/>
      <w:b/>
      <w:bCs/>
      <w:sz w:val="36"/>
      <w:szCs w:val="36"/>
      <w:lang w:eastAsia="ro-RO"/>
    </w:rPr>
  </w:style>
  <w:style w:type="paragraph" w:customStyle="1" w:styleId="rtejustify">
    <w:name w:val="rtejustify"/>
    <w:basedOn w:val="Normal"/>
    <w:rsid w:val="00962D9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962D90"/>
    <w:rPr>
      <w:color w:val="0000FF"/>
      <w:u w:val="single"/>
    </w:rPr>
  </w:style>
  <w:style w:type="character" w:styleId="Robust">
    <w:name w:val="Strong"/>
    <w:basedOn w:val="Fontdeparagrafimplicit"/>
    <w:uiPriority w:val="22"/>
    <w:qFormat/>
    <w:rsid w:val="00962D90"/>
    <w:rPr>
      <w:b/>
      <w:bCs/>
    </w:rPr>
  </w:style>
  <w:style w:type="character" w:styleId="Accentuat">
    <w:name w:val="Emphasis"/>
    <w:basedOn w:val="Fontdeparagrafimplicit"/>
    <w:uiPriority w:val="20"/>
    <w:qFormat/>
    <w:rsid w:val="00962D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962D90"/>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962D90"/>
    <w:rPr>
      <w:rFonts w:ascii="Times New Roman" w:eastAsia="Times New Roman" w:hAnsi="Times New Roman" w:cs="Times New Roman"/>
      <w:b/>
      <w:bCs/>
      <w:sz w:val="36"/>
      <w:szCs w:val="36"/>
      <w:lang w:eastAsia="ro-RO"/>
    </w:rPr>
  </w:style>
  <w:style w:type="paragraph" w:customStyle="1" w:styleId="rtejustify">
    <w:name w:val="rtejustify"/>
    <w:basedOn w:val="Normal"/>
    <w:rsid w:val="00962D9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962D90"/>
    <w:rPr>
      <w:color w:val="0000FF"/>
      <w:u w:val="single"/>
    </w:rPr>
  </w:style>
  <w:style w:type="character" w:styleId="Robust">
    <w:name w:val="Strong"/>
    <w:basedOn w:val="Fontdeparagrafimplicit"/>
    <w:uiPriority w:val="22"/>
    <w:qFormat/>
    <w:rsid w:val="00962D90"/>
    <w:rPr>
      <w:b/>
      <w:bCs/>
    </w:rPr>
  </w:style>
  <w:style w:type="character" w:styleId="Accentuat">
    <w:name w:val="Emphasis"/>
    <w:basedOn w:val="Fontdeparagrafimplicit"/>
    <w:uiPriority w:val="20"/>
    <w:qFormat/>
    <w:rsid w:val="00962D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25918">
      <w:bodyDiv w:val="1"/>
      <w:marLeft w:val="0"/>
      <w:marRight w:val="0"/>
      <w:marTop w:val="0"/>
      <w:marBottom w:val="0"/>
      <w:divBdr>
        <w:top w:val="none" w:sz="0" w:space="0" w:color="auto"/>
        <w:left w:val="none" w:sz="0" w:space="0" w:color="auto"/>
        <w:bottom w:val="none" w:sz="0" w:space="0" w:color="auto"/>
        <w:right w:val="none" w:sz="0" w:space="0" w:color="auto"/>
      </w:divBdr>
      <w:divsChild>
        <w:div w:id="1522627791">
          <w:marLeft w:val="0"/>
          <w:marRight w:val="0"/>
          <w:marTop w:val="0"/>
          <w:marBottom w:val="300"/>
          <w:divBdr>
            <w:top w:val="none" w:sz="0" w:space="0" w:color="auto"/>
            <w:left w:val="none" w:sz="0" w:space="0" w:color="auto"/>
            <w:bottom w:val="none" w:sz="0" w:space="0" w:color="auto"/>
            <w:right w:val="none" w:sz="0" w:space="0" w:color="auto"/>
          </w:divBdr>
          <w:divsChild>
            <w:div w:id="1149787799">
              <w:marLeft w:val="0"/>
              <w:marRight w:val="0"/>
              <w:marTop w:val="0"/>
              <w:marBottom w:val="0"/>
              <w:divBdr>
                <w:top w:val="none" w:sz="0" w:space="0" w:color="auto"/>
                <w:left w:val="none" w:sz="0" w:space="0" w:color="auto"/>
                <w:bottom w:val="none" w:sz="0" w:space="0" w:color="auto"/>
                <w:right w:val="none" w:sz="0" w:space="0" w:color="auto"/>
              </w:divBdr>
              <w:divsChild>
                <w:div w:id="2131436194">
                  <w:marLeft w:val="0"/>
                  <w:marRight w:val="0"/>
                  <w:marTop w:val="0"/>
                  <w:marBottom w:val="0"/>
                  <w:divBdr>
                    <w:top w:val="none" w:sz="0" w:space="0" w:color="auto"/>
                    <w:left w:val="none" w:sz="0" w:space="0" w:color="auto"/>
                    <w:bottom w:val="none" w:sz="0" w:space="0" w:color="auto"/>
                    <w:right w:val="none" w:sz="0" w:space="0" w:color="auto"/>
                  </w:divBdr>
                  <w:divsChild>
                    <w:div w:id="2058698363">
                      <w:marLeft w:val="0"/>
                      <w:marRight w:val="0"/>
                      <w:marTop w:val="0"/>
                      <w:marBottom w:val="0"/>
                      <w:divBdr>
                        <w:top w:val="none" w:sz="0" w:space="0" w:color="auto"/>
                        <w:left w:val="none" w:sz="0" w:space="0" w:color="auto"/>
                        <w:bottom w:val="none" w:sz="0" w:space="0" w:color="auto"/>
                        <w:right w:val="none" w:sz="0" w:space="0" w:color="auto"/>
                      </w:divBdr>
                      <w:divsChild>
                        <w:div w:id="7799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md/cautare/getResults?doc_id=112497&amp;lang=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egis.md/cautare/getResults?doc_id=16072&amp;lang=ro" TargetMode="External"/><Relationship Id="rId5" Type="http://schemas.openxmlformats.org/officeDocument/2006/relationships/hyperlink" Target="https://www.legis.md/cautare/getResults?doc_id=16072&amp;lang=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446</Words>
  <Characters>2593</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Radeni</dc:creator>
  <cp:lastModifiedBy>Radeni</cp:lastModifiedBy>
  <cp:revision>1</cp:revision>
  <cp:lastPrinted>2024-05-10T11:58:00Z</cp:lastPrinted>
  <dcterms:created xsi:type="dcterms:W3CDTF">2024-05-10T10:14:00Z</dcterms:created>
  <dcterms:modified xsi:type="dcterms:W3CDTF">2024-05-10T11:58:00Z</dcterms:modified>
</cp:coreProperties>
</file>