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18B" w:rsidRPr="00E86699" w:rsidRDefault="009C318B" w:rsidP="009C318B">
      <w:pPr>
        <w:spacing w:after="120"/>
        <w:jc w:val="center"/>
        <w:rPr>
          <w:bCs/>
          <w:sz w:val="24"/>
          <w:szCs w:val="24"/>
        </w:rPr>
      </w:pPr>
      <w:bookmarkStart w:id="0" w:name="_GoBack"/>
      <w:bookmarkEnd w:id="0"/>
      <w:r w:rsidRPr="00E86699">
        <w:rPr>
          <w:bCs/>
          <w:sz w:val="24"/>
          <w:szCs w:val="24"/>
        </w:rPr>
        <w:t xml:space="preserve">Formular </w:t>
      </w:r>
      <w:r w:rsidR="00456C47" w:rsidRPr="00E86699">
        <w:rPr>
          <w:bCs/>
          <w:sz w:val="24"/>
          <w:szCs w:val="24"/>
        </w:rPr>
        <w:t xml:space="preserve">tehnic </w:t>
      </w:r>
      <w:r w:rsidRPr="00E86699">
        <w:rPr>
          <w:bCs/>
          <w:sz w:val="24"/>
          <w:szCs w:val="24"/>
        </w:rPr>
        <w:t xml:space="preserve">privind </w:t>
      </w:r>
      <w:r w:rsidR="00456C47" w:rsidRPr="00E86699">
        <w:rPr>
          <w:bCs/>
          <w:sz w:val="24"/>
          <w:szCs w:val="24"/>
        </w:rPr>
        <w:t xml:space="preserve">starea vegetației forestiere </w:t>
      </w:r>
      <w:r w:rsidRPr="00E86699">
        <w:rPr>
          <w:bCs/>
          <w:sz w:val="24"/>
          <w:szCs w:val="24"/>
        </w:rPr>
        <w:t>apte pentru reabilitare</w:t>
      </w:r>
    </w:p>
    <w:tbl>
      <w:tblPr>
        <w:tblStyle w:val="TableGrid1"/>
        <w:tblpPr w:leftFromText="180" w:rightFromText="180" w:vertAnchor="text" w:tblpXSpec="center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550"/>
        <w:gridCol w:w="879"/>
        <w:gridCol w:w="664"/>
        <w:gridCol w:w="459"/>
        <w:gridCol w:w="773"/>
        <w:gridCol w:w="1178"/>
        <w:gridCol w:w="1134"/>
        <w:gridCol w:w="1648"/>
        <w:gridCol w:w="990"/>
        <w:gridCol w:w="1260"/>
        <w:gridCol w:w="1620"/>
        <w:gridCol w:w="1440"/>
        <w:gridCol w:w="1440"/>
        <w:gridCol w:w="674"/>
      </w:tblGrid>
      <w:tr w:rsidR="00586582" w:rsidRPr="005A7E27" w:rsidTr="00C27A0C">
        <w:trPr>
          <w:trHeight w:val="121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C318B" w:rsidRPr="005A7E27" w:rsidRDefault="009C318B" w:rsidP="00620679">
            <w:pPr>
              <w:ind w:left="-134" w:right="-157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spacing w:val="-8"/>
                <w:sz w:val="18"/>
                <w:szCs w:val="18"/>
              </w:rPr>
              <w:t>RA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C318B" w:rsidRPr="005A7E27" w:rsidRDefault="009C318B" w:rsidP="00620679">
            <w:pPr>
              <w:ind w:left="-134" w:right="-157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spacing w:val="-8"/>
                <w:sz w:val="18"/>
                <w:szCs w:val="18"/>
              </w:rPr>
              <w:t>Primăria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C318B" w:rsidRPr="005A7E27" w:rsidRDefault="009C318B" w:rsidP="00620679">
            <w:pPr>
              <w:ind w:left="-134" w:right="-157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spacing w:val="-8"/>
                <w:sz w:val="18"/>
                <w:szCs w:val="18"/>
              </w:rPr>
              <w:t>CC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C318B" w:rsidRPr="005A7E27" w:rsidRDefault="009C318B" w:rsidP="00620679">
            <w:pPr>
              <w:ind w:left="-134" w:right="-157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spacing w:val="-8"/>
                <w:sz w:val="18"/>
                <w:szCs w:val="18"/>
              </w:rPr>
              <w:t>ES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C318B" w:rsidRPr="005A7E27" w:rsidRDefault="009C318B" w:rsidP="00620679">
            <w:pPr>
              <w:ind w:left="-134" w:right="-157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spacing w:val="-8"/>
                <w:sz w:val="18"/>
                <w:szCs w:val="18"/>
              </w:rPr>
              <w:t>Aria, ha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C318B" w:rsidRPr="005A7E27" w:rsidRDefault="009C318B" w:rsidP="00620679">
            <w:pPr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spacing w:val="-8"/>
                <w:sz w:val="18"/>
                <w:szCs w:val="18"/>
              </w:rPr>
              <w:t>Starea curentă conform amenajamentului silvic sau studiilor/inventarierilor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C318B" w:rsidRPr="005A7E27" w:rsidRDefault="009C318B" w:rsidP="00620679">
            <w:pPr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spacing w:val="-8"/>
                <w:sz w:val="18"/>
                <w:szCs w:val="18"/>
              </w:rPr>
              <w:t>Activități de reabilitare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318B" w:rsidRPr="005A7E27" w:rsidRDefault="009C318B" w:rsidP="00620679">
            <w:pPr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spacing w:val="-8"/>
                <w:sz w:val="18"/>
                <w:szCs w:val="18"/>
              </w:rPr>
              <w:t xml:space="preserve">Note </w:t>
            </w:r>
          </w:p>
        </w:tc>
      </w:tr>
      <w:tr w:rsidR="000E2561" w:rsidRPr="005A7E27" w:rsidTr="00140E94">
        <w:trPr>
          <w:trHeight w:val="1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2561" w:rsidRPr="005A7E27" w:rsidRDefault="000E2561" w:rsidP="00620679">
            <w:pPr>
              <w:rPr>
                <w:b/>
                <w:bCs/>
                <w:spacing w:val="-8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2561" w:rsidRPr="005A7E27" w:rsidRDefault="000E2561" w:rsidP="00620679">
            <w:pPr>
              <w:rPr>
                <w:b/>
                <w:bCs/>
                <w:spacing w:val="-8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2561" w:rsidRPr="005A7E27" w:rsidRDefault="000E2561" w:rsidP="00620679">
            <w:pPr>
              <w:rPr>
                <w:b/>
                <w:bCs/>
                <w:spacing w:val="-8"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2561" w:rsidRPr="005A7E27" w:rsidRDefault="000E2561" w:rsidP="00620679">
            <w:pPr>
              <w:rPr>
                <w:b/>
                <w:bCs/>
                <w:spacing w:val="-8"/>
                <w:sz w:val="18"/>
                <w:szCs w:val="18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2561" w:rsidRPr="005A7E27" w:rsidRDefault="000E2561" w:rsidP="00620679">
            <w:pPr>
              <w:rPr>
                <w:b/>
                <w:bCs/>
                <w:spacing w:val="-8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2561" w:rsidRPr="005A7E27" w:rsidRDefault="000E2561" w:rsidP="00620679">
            <w:pPr>
              <w:ind w:left="-86" w:right="-78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spacing w:val="-8"/>
                <w:sz w:val="18"/>
                <w:szCs w:val="18"/>
              </w:rPr>
              <w:t>Categoria de vegetație forestieră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2561" w:rsidRPr="005A7E27" w:rsidRDefault="000E2561" w:rsidP="00620679">
            <w:pPr>
              <w:ind w:left="-86" w:right="-78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spacing w:val="-8"/>
                <w:sz w:val="18"/>
                <w:szCs w:val="18"/>
              </w:rPr>
              <w:t>Specia predominantă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2561" w:rsidRPr="005A7E27" w:rsidRDefault="000E2561" w:rsidP="00620679">
            <w:pPr>
              <w:ind w:left="-86" w:right="-78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spacing w:val="-8"/>
                <w:sz w:val="18"/>
                <w:szCs w:val="18"/>
              </w:rPr>
              <w:t>Compoziția actuală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2561" w:rsidRPr="005A7E27" w:rsidRDefault="000E2561" w:rsidP="00620679">
            <w:pPr>
              <w:ind w:left="-86" w:right="-78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spacing w:val="-8"/>
                <w:sz w:val="18"/>
                <w:szCs w:val="18"/>
              </w:rPr>
              <w:t>Vârsta medie, ani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2561" w:rsidRPr="005A7E27" w:rsidRDefault="000E2561" w:rsidP="00620679">
            <w:pPr>
              <w:ind w:left="-86" w:right="-78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spacing w:val="-8"/>
                <w:sz w:val="18"/>
                <w:szCs w:val="18"/>
              </w:rPr>
              <w:t>Consistența /reușita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2561" w:rsidRPr="005A7E27" w:rsidRDefault="000E2561" w:rsidP="00620679">
            <w:pPr>
              <w:ind w:left="-86" w:right="-78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spacing w:val="-8"/>
                <w:sz w:val="18"/>
                <w:szCs w:val="18"/>
              </w:rPr>
              <w:t>Metoda de reabilitare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2561" w:rsidRPr="005A7E27" w:rsidRDefault="000E2561" w:rsidP="00620679">
            <w:pPr>
              <w:ind w:left="-86" w:right="-78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spacing w:val="-8"/>
                <w:sz w:val="18"/>
                <w:szCs w:val="18"/>
              </w:rPr>
              <w:t>Specia predominantă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2561" w:rsidRPr="005A7E27" w:rsidRDefault="000E2561" w:rsidP="00620679">
            <w:pPr>
              <w:ind w:left="-86" w:right="-78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spacing w:val="-8"/>
                <w:sz w:val="18"/>
                <w:szCs w:val="18"/>
              </w:rPr>
              <w:t>Compoziția de reabilitare</w:t>
            </w: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2561" w:rsidRPr="005A7E27" w:rsidRDefault="000E2561" w:rsidP="00620679">
            <w:pPr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0E2561" w:rsidRPr="005A7E27" w:rsidTr="00140E94">
        <w:trPr>
          <w:trHeight w:val="4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2561" w:rsidRPr="005A7E27" w:rsidRDefault="000E2561" w:rsidP="00620679">
            <w:pPr>
              <w:jc w:val="center"/>
              <w:rPr>
                <w:b/>
                <w:bCs/>
                <w:i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i/>
                <w:spacing w:val="-8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2561" w:rsidRPr="005A7E27" w:rsidRDefault="000E2561" w:rsidP="00620679">
            <w:pPr>
              <w:jc w:val="center"/>
              <w:rPr>
                <w:b/>
                <w:bCs/>
                <w:i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i/>
                <w:spacing w:val="-8"/>
                <w:sz w:val="18"/>
                <w:szCs w:val="18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2561" w:rsidRPr="005A7E27" w:rsidRDefault="000E2561" w:rsidP="00620679">
            <w:pPr>
              <w:jc w:val="center"/>
              <w:rPr>
                <w:b/>
                <w:bCs/>
                <w:i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i/>
                <w:spacing w:val="-8"/>
                <w:sz w:val="18"/>
                <w:szCs w:val="18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2561" w:rsidRPr="005A7E27" w:rsidRDefault="000E2561" w:rsidP="00620679">
            <w:pPr>
              <w:jc w:val="center"/>
              <w:rPr>
                <w:b/>
                <w:bCs/>
                <w:i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i/>
                <w:spacing w:val="-8"/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2561" w:rsidRPr="005A7E27" w:rsidRDefault="000E2561" w:rsidP="00620679">
            <w:pPr>
              <w:jc w:val="center"/>
              <w:rPr>
                <w:b/>
                <w:bCs/>
                <w:i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i/>
                <w:spacing w:val="-8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2561" w:rsidRPr="005A7E27" w:rsidRDefault="000E2561" w:rsidP="00620679">
            <w:pPr>
              <w:jc w:val="center"/>
              <w:rPr>
                <w:b/>
                <w:bCs/>
                <w:i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i/>
                <w:spacing w:val="-8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2561" w:rsidRPr="005A7E27" w:rsidRDefault="000E2561" w:rsidP="00620679">
            <w:pPr>
              <w:jc w:val="center"/>
              <w:rPr>
                <w:b/>
                <w:bCs/>
                <w:i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i/>
                <w:spacing w:val="-8"/>
                <w:sz w:val="18"/>
                <w:szCs w:val="18"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2561" w:rsidRPr="005A7E27" w:rsidRDefault="000E2561" w:rsidP="00620679">
            <w:pPr>
              <w:jc w:val="center"/>
              <w:rPr>
                <w:b/>
                <w:bCs/>
                <w:i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i/>
                <w:spacing w:val="-8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2561" w:rsidRPr="005A7E27" w:rsidRDefault="000E2561" w:rsidP="00620679">
            <w:pPr>
              <w:jc w:val="center"/>
              <w:rPr>
                <w:b/>
                <w:bCs/>
                <w:i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i/>
                <w:spacing w:val="-8"/>
                <w:sz w:val="18"/>
                <w:szCs w:val="18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2561" w:rsidRPr="005A7E27" w:rsidRDefault="000E2561" w:rsidP="00620679">
            <w:pPr>
              <w:jc w:val="center"/>
              <w:rPr>
                <w:b/>
                <w:bCs/>
                <w:i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i/>
                <w:spacing w:val="-8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2561" w:rsidRPr="005A7E27" w:rsidRDefault="000E2561" w:rsidP="00620679">
            <w:pPr>
              <w:jc w:val="center"/>
              <w:rPr>
                <w:b/>
                <w:bCs/>
                <w:i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i/>
                <w:spacing w:val="-8"/>
                <w:sz w:val="18"/>
                <w:szCs w:val="18"/>
              </w:rPr>
              <w:t>1</w:t>
            </w:r>
            <w:r>
              <w:rPr>
                <w:b/>
                <w:bCs/>
                <w:i/>
                <w:spacing w:val="-8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2561" w:rsidRPr="005A7E27" w:rsidRDefault="000E2561" w:rsidP="00620679">
            <w:pPr>
              <w:jc w:val="center"/>
              <w:rPr>
                <w:b/>
                <w:bCs/>
                <w:i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i/>
                <w:spacing w:val="-8"/>
                <w:sz w:val="18"/>
                <w:szCs w:val="18"/>
              </w:rPr>
              <w:t>1</w:t>
            </w:r>
            <w:r>
              <w:rPr>
                <w:b/>
                <w:bCs/>
                <w:i/>
                <w:spacing w:val="-8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2561" w:rsidRPr="005A7E27" w:rsidRDefault="000E2561" w:rsidP="00620679">
            <w:pPr>
              <w:jc w:val="center"/>
              <w:rPr>
                <w:b/>
                <w:bCs/>
                <w:i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i/>
                <w:spacing w:val="-8"/>
                <w:sz w:val="18"/>
                <w:szCs w:val="18"/>
              </w:rPr>
              <w:t>1</w:t>
            </w:r>
            <w:r>
              <w:rPr>
                <w:b/>
                <w:bCs/>
                <w:i/>
                <w:spacing w:val="-8"/>
                <w:sz w:val="18"/>
                <w:szCs w:val="18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E2561" w:rsidRPr="005A7E27" w:rsidRDefault="000E2561" w:rsidP="00620679">
            <w:pPr>
              <w:jc w:val="center"/>
              <w:rPr>
                <w:b/>
                <w:bCs/>
                <w:i/>
                <w:spacing w:val="-8"/>
                <w:sz w:val="18"/>
                <w:szCs w:val="18"/>
              </w:rPr>
            </w:pPr>
            <w:r w:rsidRPr="005A7E27">
              <w:rPr>
                <w:b/>
                <w:bCs/>
                <w:i/>
                <w:spacing w:val="-8"/>
                <w:sz w:val="18"/>
                <w:szCs w:val="18"/>
              </w:rPr>
              <w:t>1</w:t>
            </w:r>
            <w:r>
              <w:rPr>
                <w:b/>
                <w:bCs/>
                <w:i/>
                <w:spacing w:val="-8"/>
                <w:sz w:val="18"/>
                <w:szCs w:val="18"/>
              </w:rPr>
              <w:t>4</w:t>
            </w:r>
          </w:p>
        </w:tc>
      </w:tr>
      <w:tr w:rsidR="00140E94" w:rsidRPr="005A7E27" w:rsidTr="00140E94">
        <w:trPr>
          <w:trHeight w:val="1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Pr="005A7E27" w:rsidRDefault="00140E94" w:rsidP="00620679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64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Pr="005A7E27" w:rsidRDefault="00140E94" w:rsidP="00620679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Pohorniceni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620679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386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620679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orhei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620679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0,57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Default="00140E94" w:rsidP="00140E94">
            <w:pPr>
              <w:ind w:right="13"/>
            </w:pPr>
            <w:r w:rsidRPr="000B6603">
              <w:rPr>
                <w:rFonts w:asciiTheme="majorHAnsi" w:hAnsiTheme="majorHAnsi" w:cstheme="majorHAnsi"/>
                <w:color w:val="000000" w:themeColor="text1"/>
              </w:rPr>
              <w:t>PFP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620679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nuc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620679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620679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620679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EB7FCF" w:rsidP="00620679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refacere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EB7FCF" w:rsidP="00620679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nuc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620679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620679">
            <w:pPr>
              <w:jc w:val="center"/>
              <w:rPr>
                <w:spacing w:val="-8"/>
                <w:sz w:val="20"/>
                <w:szCs w:val="20"/>
              </w:rPr>
            </w:pPr>
          </w:p>
        </w:tc>
      </w:tr>
      <w:tr w:rsidR="00140E94" w:rsidRPr="005A7E27" w:rsidTr="00140E94">
        <w:trPr>
          <w:trHeight w:val="18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64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Pohorniceni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389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0,75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Default="00140E94" w:rsidP="00140E94">
            <w:pPr>
              <w:ind w:right="13"/>
            </w:pPr>
            <w:r w:rsidRPr="000B6603">
              <w:rPr>
                <w:rFonts w:asciiTheme="majorHAnsi" w:hAnsiTheme="majorHAnsi" w:cstheme="majorHAnsi"/>
                <w:color w:val="000000" w:themeColor="text1"/>
              </w:rPr>
              <w:t>PFP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nuc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</w:p>
        </w:tc>
      </w:tr>
      <w:tr w:rsidR="00140E94" w:rsidRPr="005A7E27" w:rsidTr="00140E94">
        <w:trPr>
          <w:trHeight w:val="18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Default="00140E94" w:rsidP="00140E94">
            <w:r w:rsidRPr="00DC37B4">
              <w:rPr>
                <w:spacing w:val="-8"/>
                <w:sz w:val="20"/>
                <w:szCs w:val="20"/>
              </w:rPr>
              <w:t>64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Pohorniceni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380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1,67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Default="00140E94" w:rsidP="00140E94">
            <w:pPr>
              <w:ind w:right="13"/>
            </w:pPr>
            <w:r w:rsidRPr="000B6603">
              <w:rPr>
                <w:rFonts w:asciiTheme="majorHAnsi" w:hAnsiTheme="majorHAnsi" w:cstheme="majorHAnsi"/>
                <w:color w:val="000000" w:themeColor="text1"/>
              </w:rPr>
              <w:t>PFP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nuc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</w:tr>
      <w:tr w:rsidR="00140E94" w:rsidRPr="005A7E27" w:rsidTr="00140E94">
        <w:trPr>
          <w:trHeight w:val="18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Default="00140E94" w:rsidP="00140E94">
            <w:r w:rsidRPr="00DC37B4">
              <w:rPr>
                <w:spacing w:val="-8"/>
                <w:sz w:val="20"/>
                <w:szCs w:val="20"/>
              </w:rPr>
              <w:t>64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Pohorniceni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393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2,18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Default="00140E94" w:rsidP="00140E94">
            <w:pPr>
              <w:ind w:right="13"/>
            </w:pPr>
            <w:r w:rsidRPr="000B6603">
              <w:rPr>
                <w:rFonts w:asciiTheme="majorHAnsi" w:hAnsiTheme="majorHAnsi" w:cstheme="majorHAnsi"/>
                <w:color w:val="000000" w:themeColor="text1"/>
              </w:rPr>
              <w:t>PFP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nuc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</w:tr>
      <w:tr w:rsidR="00140E94" w:rsidRPr="005A7E27" w:rsidTr="00140E94">
        <w:trPr>
          <w:trHeight w:val="18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Default="00140E94" w:rsidP="00140E94">
            <w:r w:rsidRPr="00DC37B4">
              <w:rPr>
                <w:spacing w:val="-8"/>
                <w:sz w:val="20"/>
                <w:szCs w:val="20"/>
              </w:rPr>
              <w:t>64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Pohorniceni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383/345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4,49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Default="00140E94" w:rsidP="00140E94">
            <w:pPr>
              <w:ind w:right="13"/>
            </w:pPr>
            <w:r w:rsidRPr="000B6603">
              <w:rPr>
                <w:rFonts w:asciiTheme="majorHAnsi" w:hAnsiTheme="majorHAnsi" w:cstheme="majorHAnsi"/>
                <w:color w:val="000000" w:themeColor="text1"/>
              </w:rPr>
              <w:t>PFP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nuc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</w:tr>
      <w:tr w:rsidR="00140E94" w:rsidRPr="005A7E27" w:rsidTr="00140E94">
        <w:trPr>
          <w:trHeight w:val="18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Default="00140E94" w:rsidP="00140E94">
            <w:r w:rsidRPr="00DC37B4">
              <w:rPr>
                <w:spacing w:val="-8"/>
                <w:sz w:val="20"/>
                <w:szCs w:val="20"/>
              </w:rPr>
              <w:t>64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Pohorniceni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342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1,58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Default="00140E94" w:rsidP="00140E94">
            <w:pPr>
              <w:ind w:right="13"/>
            </w:pPr>
            <w:r w:rsidRPr="000B6603">
              <w:rPr>
                <w:rFonts w:asciiTheme="majorHAnsi" w:hAnsiTheme="majorHAnsi" w:cstheme="majorHAnsi"/>
                <w:color w:val="000000" w:themeColor="text1"/>
              </w:rPr>
              <w:t>PFP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nuc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</w:tr>
      <w:tr w:rsidR="00140E94" w:rsidRPr="005A7E27" w:rsidTr="00140E94">
        <w:trPr>
          <w:trHeight w:val="18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Default="00140E94" w:rsidP="00140E94">
            <w:r w:rsidRPr="00DC37B4">
              <w:rPr>
                <w:spacing w:val="-8"/>
                <w:sz w:val="20"/>
                <w:szCs w:val="20"/>
              </w:rPr>
              <w:t>64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Pohorniceni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328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0,66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Default="00140E94" w:rsidP="00140E94">
            <w:pPr>
              <w:ind w:right="13"/>
            </w:pPr>
            <w:r w:rsidRPr="000B6603">
              <w:rPr>
                <w:rFonts w:asciiTheme="majorHAnsi" w:hAnsiTheme="majorHAnsi" w:cstheme="majorHAnsi"/>
                <w:color w:val="000000" w:themeColor="text1"/>
              </w:rPr>
              <w:t>PFP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nuc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</w:tr>
      <w:tr w:rsidR="00140E94" w:rsidRPr="005A7E27" w:rsidTr="00140E94">
        <w:trPr>
          <w:trHeight w:val="18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Default="00140E94" w:rsidP="00140E94">
            <w:r w:rsidRPr="00DC37B4">
              <w:rPr>
                <w:spacing w:val="-8"/>
                <w:sz w:val="20"/>
                <w:szCs w:val="20"/>
              </w:rPr>
              <w:t>64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Pohorniceni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329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0,63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Default="00140E94" w:rsidP="00140E94">
            <w:pPr>
              <w:ind w:right="13"/>
            </w:pPr>
            <w:r w:rsidRPr="000B6603">
              <w:rPr>
                <w:rFonts w:asciiTheme="majorHAnsi" w:hAnsiTheme="majorHAnsi" w:cstheme="majorHAnsi"/>
                <w:color w:val="000000" w:themeColor="text1"/>
              </w:rPr>
              <w:t>PFP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nuc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</w:tr>
      <w:tr w:rsidR="00140E94" w:rsidRPr="005A7E27" w:rsidTr="00140E94">
        <w:trPr>
          <w:trHeight w:val="18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Pr="00DC37B4" w:rsidRDefault="00140E94" w:rsidP="00140E94">
            <w:pPr>
              <w:rPr>
                <w:spacing w:val="-8"/>
              </w:rPr>
            </w:pPr>
            <w:r>
              <w:rPr>
                <w:spacing w:val="-8"/>
              </w:rPr>
              <w:t>64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Pohorniceni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Default="00140E94" w:rsidP="00140E9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200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Default="00140E94" w:rsidP="00140E9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0,49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4" w:rsidRDefault="00140E94" w:rsidP="00140E94">
            <w:pPr>
              <w:ind w:right="13"/>
            </w:pPr>
            <w:r w:rsidRPr="000B6603">
              <w:rPr>
                <w:rFonts w:asciiTheme="majorHAnsi" w:hAnsiTheme="majorHAnsi" w:cstheme="majorHAnsi"/>
                <w:color w:val="000000" w:themeColor="text1"/>
              </w:rPr>
              <w:t>PFP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nuc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4" w:rsidRPr="005A7E27" w:rsidRDefault="00140E94" w:rsidP="00140E94">
            <w:pPr>
              <w:jc w:val="center"/>
              <w:rPr>
                <w:spacing w:val="-8"/>
              </w:rPr>
            </w:pPr>
          </w:p>
        </w:tc>
      </w:tr>
      <w:tr w:rsidR="00C27A0C" w:rsidRPr="005A7E27" w:rsidTr="00140E94">
        <w:trPr>
          <w:trHeight w:val="18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0C" w:rsidRPr="00DC37B4" w:rsidRDefault="00C27A0C" w:rsidP="00C27A0C">
            <w:pPr>
              <w:rPr>
                <w:spacing w:val="-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0C" w:rsidRDefault="00C27A0C" w:rsidP="00C27A0C">
            <w:pPr>
              <w:jc w:val="center"/>
              <w:rPr>
                <w:spacing w:val="-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0C" w:rsidRDefault="00C27A0C" w:rsidP="00C27A0C">
            <w:pPr>
              <w:jc w:val="center"/>
              <w:rPr>
                <w:spacing w:val="-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0C" w:rsidRPr="005A7E27" w:rsidRDefault="00C27A0C" w:rsidP="00C27A0C">
            <w:pPr>
              <w:jc w:val="center"/>
              <w:rPr>
                <w:spacing w:val="-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0C" w:rsidRDefault="00C27A0C" w:rsidP="00C27A0C">
            <w:pPr>
              <w:jc w:val="center"/>
              <w:rPr>
                <w:spacing w:val="-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0C" w:rsidRPr="005A7E27" w:rsidRDefault="00C27A0C" w:rsidP="00C27A0C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0C" w:rsidRPr="005A7E27" w:rsidRDefault="00C27A0C" w:rsidP="00C27A0C">
            <w:pPr>
              <w:jc w:val="center"/>
              <w:rPr>
                <w:spacing w:val="-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0C" w:rsidRPr="005A7E27" w:rsidRDefault="00C27A0C" w:rsidP="00C27A0C">
            <w:pPr>
              <w:jc w:val="center"/>
              <w:rPr>
                <w:spacing w:val="-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0C" w:rsidRPr="005A7E27" w:rsidRDefault="00C27A0C" w:rsidP="00C27A0C">
            <w:pPr>
              <w:jc w:val="center"/>
              <w:rPr>
                <w:spacing w:val="-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0C" w:rsidRPr="005A7E27" w:rsidRDefault="00C27A0C" w:rsidP="00C27A0C">
            <w:pPr>
              <w:jc w:val="center"/>
              <w:rPr>
                <w:spacing w:val="-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0C" w:rsidRPr="005A7E27" w:rsidRDefault="00C27A0C" w:rsidP="00C27A0C">
            <w:pPr>
              <w:jc w:val="center"/>
              <w:rPr>
                <w:spacing w:val="-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0C" w:rsidRPr="005A7E27" w:rsidRDefault="00C27A0C" w:rsidP="00C27A0C">
            <w:pPr>
              <w:jc w:val="center"/>
              <w:rPr>
                <w:spacing w:val="-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0C" w:rsidRPr="005A7E27" w:rsidRDefault="00C27A0C" w:rsidP="00C27A0C">
            <w:pPr>
              <w:jc w:val="center"/>
              <w:rPr>
                <w:spacing w:val="-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0C" w:rsidRPr="005A7E27" w:rsidRDefault="00C27A0C" w:rsidP="00C27A0C">
            <w:pPr>
              <w:jc w:val="center"/>
              <w:rPr>
                <w:spacing w:val="-8"/>
              </w:rPr>
            </w:pPr>
          </w:p>
        </w:tc>
      </w:tr>
      <w:tr w:rsidR="00C27A0C" w:rsidRPr="005A7E27" w:rsidTr="00140E94">
        <w:trPr>
          <w:trHeight w:val="18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0C" w:rsidRPr="005A7E27" w:rsidRDefault="00C27A0C" w:rsidP="00C27A0C">
            <w:pPr>
              <w:jc w:val="center"/>
              <w:rPr>
                <w:spacing w:val="-8"/>
                <w:sz w:val="20"/>
                <w:szCs w:val="20"/>
              </w:rPr>
            </w:pPr>
            <w:r w:rsidRPr="005A7E27">
              <w:rPr>
                <w:spacing w:val="-8"/>
                <w:sz w:val="20"/>
                <w:szCs w:val="20"/>
              </w:rPr>
              <w:t>Total pe entitate / unitate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0C" w:rsidRPr="005A7E27" w:rsidRDefault="00C27A0C" w:rsidP="00C27A0C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0C" w:rsidRPr="005A7E27" w:rsidRDefault="00C27A0C" w:rsidP="00C27A0C">
            <w:pPr>
              <w:jc w:val="center"/>
              <w:rPr>
                <w:spacing w:val="-8"/>
                <w:sz w:val="20"/>
                <w:szCs w:val="20"/>
              </w:rPr>
            </w:pPr>
            <w:r w:rsidRPr="005A7E27">
              <w:rPr>
                <w:spacing w:val="-8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0C" w:rsidRPr="005A7E27" w:rsidRDefault="00C27A0C" w:rsidP="00C27A0C">
            <w:pPr>
              <w:jc w:val="center"/>
              <w:rPr>
                <w:spacing w:val="-8"/>
                <w:sz w:val="20"/>
                <w:szCs w:val="20"/>
              </w:rPr>
            </w:pPr>
            <w:r w:rsidRPr="005A7E27">
              <w:rPr>
                <w:spacing w:val="-8"/>
                <w:sz w:val="20"/>
                <w:szCs w:val="20"/>
              </w:rPr>
              <w:t>x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0C" w:rsidRPr="005A7E27" w:rsidRDefault="00C27A0C" w:rsidP="00C27A0C">
            <w:pPr>
              <w:jc w:val="center"/>
              <w:rPr>
                <w:spacing w:val="-8"/>
                <w:sz w:val="20"/>
                <w:szCs w:val="20"/>
              </w:rPr>
            </w:pPr>
            <w:r w:rsidRPr="005A7E27">
              <w:rPr>
                <w:spacing w:val="-8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0C" w:rsidRPr="005A7E27" w:rsidRDefault="00C27A0C" w:rsidP="00C27A0C">
            <w:pPr>
              <w:jc w:val="center"/>
              <w:rPr>
                <w:spacing w:val="-8"/>
                <w:sz w:val="20"/>
                <w:szCs w:val="20"/>
              </w:rPr>
            </w:pPr>
            <w:r w:rsidRPr="005A7E27">
              <w:rPr>
                <w:spacing w:val="-8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0C" w:rsidRPr="005A7E27" w:rsidRDefault="00C27A0C" w:rsidP="00C27A0C">
            <w:pPr>
              <w:jc w:val="center"/>
              <w:rPr>
                <w:spacing w:val="-8"/>
                <w:sz w:val="20"/>
                <w:szCs w:val="20"/>
              </w:rPr>
            </w:pPr>
            <w:r w:rsidRPr="005A7E27">
              <w:rPr>
                <w:spacing w:val="-8"/>
                <w:sz w:val="20"/>
                <w:szCs w:val="20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0C" w:rsidRPr="005A7E27" w:rsidRDefault="00C27A0C" w:rsidP="00C27A0C">
            <w:pPr>
              <w:jc w:val="center"/>
              <w:rPr>
                <w:spacing w:val="-8"/>
                <w:sz w:val="20"/>
                <w:szCs w:val="20"/>
              </w:rPr>
            </w:pPr>
            <w:r w:rsidRPr="005A7E27">
              <w:rPr>
                <w:spacing w:val="-8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0C" w:rsidRPr="005A7E27" w:rsidRDefault="00C27A0C" w:rsidP="00C27A0C">
            <w:pPr>
              <w:jc w:val="center"/>
              <w:rPr>
                <w:spacing w:val="-8"/>
                <w:sz w:val="20"/>
                <w:szCs w:val="20"/>
              </w:rPr>
            </w:pPr>
            <w:r w:rsidRPr="005A7E27">
              <w:rPr>
                <w:spacing w:val="-8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0C" w:rsidRPr="005A7E27" w:rsidRDefault="00C27A0C" w:rsidP="00C27A0C">
            <w:pPr>
              <w:jc w:val="center"/>
              <w:rPr>
                <w:spacing w:val="-8"/>
                <w:sz w:val="20"/>
                <w:szCs w:val="20"/>
              </w:rPr>
            </w:pPr>
            <w:r w:rsidRPr="005A7E27">
              <w:rPr>
                <w:spacing w:val="-8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0C" w:rsidRPr="005A7E27" w:rsidRDefault="00C27A0C" w:rsidP="00C27A0C">
            <w:pPr>
              <w:jc w:val="center"/>
              <w:rPr>
                <w:spacing w:val="-8"/>
                <w:sz w:val="20"/>
                <w:szCs w:val="20"/>
              </w:rPr>
            </w:pPr>
            <w:r w:rsidRPr="005A7E27">
              <w:rPr>
                <w:spacing w:val="-8"/>
                <w:sz w:val="20"/>
                <w:szCs w:val="20"/>
              </w:rPr>
              <w:t>x</w:t>
            </w:r>
          </w:p>
        </w:tc>
      </w:tr>
    </w:tbl>
    <w:p w:rsidR="009C318B" w:rsidRPr="005A7E27" w:rsidRDefault="009C318B" w:rsidP="009C318B">
      <w:pPr>
        <w:pStyle w:val="aff3"/>
        <w:jc w:val="both"/>
        <w:rPr>
          <w:rFonts w:ascii="Times New Roman" w:hAnsi="Times New Roman"/>
          <w:b w:val="0"/>
          <w:sz w:val="22"/>
          <w:szCs w:val="22"/>
          <w:lang w:val="ro-RO"/>
        </w:rPr>
      </w:pPr>
    </w:p>
    <w:tbl>
      <w:tblPr>
        <w:tblStyle w:val="ac"/>
        <w:tblW w:w="9270" w:type="dxa"/>
        <w:tblInd w:w="458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270"/>
      </w:tblGrid>
      <w:tr w:rsidR="00D642D2" w:rsidRPr="005A7E27" w:rsidTr="00076C3F">
        <w:tc>
          <w:tcPr>
            <w:tcW w:w="9270" w:type="dxa"/>
            <w:shd w:val="clear" w:color="auto" w:fill="FFF2CC" w:themeFill="accent4" w:themeFillTint="33"/>
          </w:tcPr>
          <w:p w:rsidR="00D642D2" w:rsidRPr="00DA569A" w:rsidRDefault="00D642D2" w:rsidP="00DA569A">
            <w:pPr>
              <w:pStyle w:val="aff3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5A7E27">
              <w:rPr>
                <w:rFonts w:asciiTheme="majorHAnsi" w:hAnsiTheme="majorHAnsi" w:cstheme="majorHAnsi"/>
                <w:bCs/>
                <w:sz w:val="18"/>
                <w:szCs w:val="18"/>
                <w:u w:val="single"/>
                <w:lang w:val="ro-RO"/>
              </w:rPr>
              <w:t>Important</w:t>
            </w:r>
            <w:r w:rsidRPr="005A7E27">
              <w:rPr>
                <w:rFonts w:asciiTheme="majorHAnsi" w:hAnsiTheme="majorHAnsi" w:cstheme="majorHAnsi"/>
                <w:b w:val="0"/>
                <w:sz w:val="18"/>
                <w:szCs w:val="18"/>
                <w:lang w:val="ro-RO"/>
              </w:rPr>
              <w:t xml:space="preserve">: </w:t>
            </w:r>
            <w:r w:rsidRPr="00076C3F">
              <w:rPr>
                <w:rFonts w:asciiTheme="majorHAnsi" w:hAnsiTheme="majorHAnsi" w:cstheme="majorHAnsi"/>
                <w:b w:val="0"/>
                <w:sz w:val="18"/>
                <w:szCs w:val="18"/>
                <w:lang w:val="ro-RO"/>
              </w:rPr>
              <w:t xml:space="preserve">În acest formular </w:t>
            </w:r>
            <w:r w:rsidRPr="00076C3F">
              <w:rPr>
                <w:rFonts w:asciiTheme="majorHAnsi" w:eastAsiaTheme="minorHAnsi" w:hAnsiTheme="majorHAnsi" w:cstheme="majorHAnsi"/>
                <w:b w:val="0"/>
                <w:sz w:val="18"/>
                <w:szCs w:val="18"/>
                <w:lang w:val="ro-RO" w:eastAsia="en-US"/>
              </w:rPr>
              <w:t>se includ</w:t>
            </w:r>
            <w:r w:rsidR="00DA569A" w:rsidRPr="00076C3F">
              <w:rPr>
                <w:rFonts w:asciiTheme="majorHAnsi" w:eastAsiaTheme="minorHAnsi" w:hAnsiTheme="majorHAnsi" w:cstheme="majorHAnsi"/>
                <w:b w:val="0"/>
                <w:sz w:val="18"/>
                <w:szCs w:val="18"/>
                <w:lang w:val="ro-RO" w:eastAsia="en-US"/>
              </w:rPr>
              <w:t xml:space="preserve"> terenurile acoperite cu vegetație forestieră din categoria </w:t>
            </w:r>
            <w:r w:rsidR="00DA569A" w:rsidRPr="00076C3F">
              <w:rPr>
                <w:rFonts w:asciiTheme="majorHAnsi" w:eastAsiaTheme="minorHAnsi" w:hAnsiTheme="majorHAnsi" w:cstheme="majorHAnsi"/>
                <w:bCs/>
                <w:i/>
                <w:iCs/>
                <w:sz w:val="18"/>
                <w:szCs w:val="18"/>
                <w:lang w:val="ro-RO" w:eastAsia="en-US"/>
              </w:rPr>
              <w:t>p</w:t>
            </w:r>
            <w:r w:rsidRPr="00076C3F">
              <w:rPr>
                <w:rFonts w:asciiTheme="majorHAnsi" w:eastAsiaTheme="minorHAnsi" w:hAnsiTheme="majorHAnsi" w:cstheme="majorHAnsi"/>
                <w:bCs/>
                <w:i/>
                <w:iCs/>
                <w:sz w:val="18"/>
                <w:szCs w:val="18"/>
                <w:lang w:val="en-US"/>
              </w:rPr>
              <w:t>erdele forestiere pentru protecția câmpurilor agricole</w:t>
            </w:r>
            <w:r w:rsidR="00DA569A" w:rsidRPr="00076C3F">
              <w:rPr>
                <w:rFonts w:asciiTheme="majorHAnsi" w:eastAsiaTheme="minorHAnsi" w:hAnsiTheme="majorHAnsi" w:cstheme="majorHAnsi"/>
                <w:b w:val="0"/>
                <w:sz w:val="18"/>
                <w:szCs w:val="18"/>
                <w:lang w:val="en-US"/>
              </w:rPr>
              <w:t xml:space="preserve"> care</w:t>
            </w:r>
            <w:r w:rsidRPr="00076C3F">
              <w:rPr>
                <w:rFonts w:asciiTheme="majorHAnsi" w:eastAsiaTheme="minorHAnsi" w:hAnsiTheme="majorHAnsi" w:cstheme="majorHAnsi"/>
                <w:b w:val="0"/>
                <w:sz w:val="18"/>
                <w:szCs w:val="18"/>
                <w:lang w:val="en-US"/>
              </w:rPr>
              <w:t xml:space="preserve"> </w:t>
            </w:r>
            <w:r w:rsidR="00076C3F" w:rsidRPr="00076C3F">
              <w:rPr>
                <w:rFonts w:asciiTheme="majorHAnsi" w:eastAsiaTheme="minorHAnsi" w:hAnsiTheme="majorHAnsi" w:cstheme="majorHAnsi"/>
                <w:b w:val="0"/>
                <w:sz w:val="18"/>
                <w:szCs w:val="18"/>
                <w:lang w:val="en-US"/>
              </w:rPr>
              <w:t xml:space="preserve">întrunesc criteriile de </w:t>
            </w:r>
            <w:r w:rsidRPr="00076C3F">
              <w:rPr>
                <w:rFonts w:asciiTheme="majorHAnsi" w:eastAsiaTheme="minorHAnsi" w:hAnsiTheme="majorHAnsi" w:cstheme="majorHAnsi"/>
                <w:b w:val="0"/>
                <w:sz w:val="18"/>
                <w:szCs w:val="18"/>
                <w:lang w:val="en-US"/>
              </w:rPr>
              <w:t>consistenț</w:t>
            </w:r>
            <w:r w:rsidR="002E11DF">
              <w:rPr>
                <w:rFonts w:asciiTheme="majorHAnsi" w:eastAsiaTheme="minorHAnsi" w:hAnsiTheme="majorHAnsi" w:cstheme="majorHAnsi"/>
                <w:b w:val="0"/>
                <w:sz w:val="18"/>
                <w:szCs w:val="18"/>
                <w:lang w:val="en-US"/>
              </w:rPr>
              <w:t>ă</w:t>
            </w:r>
            <w:r w:rsidRPr="00076C3F">
              <w:rPr>
                <w:rFonts w:asciiTheme="majorHAnsi" w:eastAsiaTheme="minorHAnsi" w:hAnsiTheme="majorHAnsi" w:cstheme="majorHAnsi"/>
                <w:b w:val="0"/>
                <w:sz w:val="18"/>
                <w:szCs w:val="18"/>
                <w:lang w:val="en-US"/>
              </w:rPr>
              <w:t xml:space="preserve"> ≤ 0,5</w:t>
            </w:r>
            <w:r w:rsidR="00076C3F" w:rsidRPr="00076C3F">
              <w:rPr>
                <w:rFonts w:asciiTheme="majorHAnsi" w:eastAsiaTheme="minorHAnsi" w:hAnsiTheme="majorHAnsi" w:cstheme="majorHAnsi"/>
                <w:b w:val="0"/>
                <w:sz w:val="18"/>
                <w:szCs w:val="18"/>
                <w:lang w:val="en-US"/>
              </w:rPr>
              <w:t xml:space="preserve"> și de</w:t>
            </w:r>
            <w:r w:rsidRPr="00076C3F">
              <w:rPr>
                <w:rFonts w:asciiTheme="majorHAnsi" w:eastAsiaTheme="minorHAnsi" w:hAnsiTheme="majorHAnsi" w:cstheme="majorHAnsi"/>
                <w:b w:val="0"/>
                <w:sz w:val="18"/>
                <w:szCs w:val="18"/>
                <w:lang w:val="en-US"/>
              </w:rPr>
              <w:t xml:space="preserve"> uscare ≥ 40%</w:t>
            </w:r>
          </w:p>
        </w:tc>
      </w:tr>
    </w:tbl>
    <w:p w:rsidR="00D642D2" w:rsidRPr="005A7E27" w:rsidRDefault="00D642D2" w:rsidP="009C318B">
      <w:pPr>
        <w:pStyle w:val="aff3"/>
        <w:jc w:val="both"/>
        <w:rPr>
          <w:rFonts w:ascii="Times New Roman" w:hAnsi="Times New Roman"/>
          <w:b w:val="0"/>
          <w:sz w:val="22"/>
          <w:szCs w:val="22"/>
          <w:lang w:val="ro-RO"/>
        </w:rPr>
      </w:pPr>
    </w:p>
    <w:p w:rsidR="009C318B" w:rsidRPr="005A7E27" w:rsidRDefault="00306CC4" w:rsidP="0006063B">
      <w:pPr>
        <w:ind w:firstLine="567"/>
        <w:rPr>
          <w:rFonts w:eastAsiaTheme="minorHAnsi"/>
        </w:rPr>
      </w:pPr>
      <w:r w:rsidRPr="005A7E27">
        <w:rPr>
          <w:rFonts w:eastAsiaTheme="minorHAnsi"/>
          <w:b/>
          <w:bCs/>
        </w:rPr>
        <w:t>Notă explicativă la c</w:t>
      </w:r>
      <w:r w:rsidR="009C318B" w:rsidRPr="005A7E27">
        <w:rPr>
          <w:rFonts w:eastAsiaTheme="minorHAnsi"/>
          <w:b/>
          <w:bCs/>
        </w:rPr>
        <w:t>ompletarea tabel</w:t>
      </w:r>
      <w:r w:rsidR="00EE14E6" w:rsidRPr="005A7E27">
        <w:rPr>
          <w:rFonts w:eastAsiaTheme="minorHAnsi"/>
          <w:b/>
          <w:bCs/>
        </w:rPr>
        <w:t>ului</w:t>
      </w:r>
      <w:r w:rsidR="009C318B" w:rsidRPr="005A7E27">
        <w:rPr>
          <w:rFonts w:eastAsiaTheme="minorHAnsi"/>
        </w:rPr>
        <w:t>:</w:t>
      </w:r>
    </w:p>
    <w:p w:rsidR="0068243F" w:rsidRPr="00E43A49" w:rsidRDefault="009C318B" w:rsidP="0006063B">
      <w:pPr>
        <w:spacing w:before="0" w:after="0" w:line="240" w:lineRule="auto"/>
        <w:rPr>
          <w:rFonts w:asciiTheme="majorHAnsi" w:hAnsiTheme="majorHAnsi" w:cstheme="majorHAnsi"/>
          <w:color w:val="FF0000"/>
        </w:rPr>
      </w:pPr>
      <w:r w:rsidRPr="00E43A49">
        <w:rPr>
          <w:rFonts w:asciiTheme="majorHAnsi" w:hAnsiTheme="majorHAnsi" w:cstheme="majorHAnsi"/>
          <w:color w:val="FF0000"/>
        </w:rPr>
        <w:t xml:space="preserve">Coloana 1 </w:t>
      </w:r>
      <w:r w:rsidR="00FF61B0" w:rsidRPr="00E43A49">
        <w:rPr>
          <w:rFonts w:asciiTheme="majorHAnsi" w:hAnsiTheme="majorHAnsi" w:cstheme="majorHAnsi"/>
          <w:color w:val="FF0000"/>
        </w:rPr>
        <w:tab/>
      </w:r>
      <w:r w:rsidRPr="00E43A49">
        <w:rPr>
          <w:rFonts w:asciiTheme="majorHAnsi" w:hAnsiTheme="majorHAnsi" w:cstheme="majorHAnsi"/>
          <w:color w:val="FF0000"/>
        </w:rPr>
        <w:t>(Raionul administrativ</w:t>
      </w:r>
      <w:r w:rsidR="00C83261" w:rsidRPr="00E43A49">
        <w:rPr>
          <w:rFonts w:asciiTheme="majorHAnsi" w:hAnsiTheme="majorHAnsi" w:cstheme="majorHAnsi"/>
          <w:color w:val="FF0000"/>
        </w:rPr>
        <w:t>)</w:t>
      </w:r>
      <w:r w:rsidRPr="00E43A49">
        <w:rPr>
          <w:rFonts w:asciiTheme="majorHAnsi" w:hAnsiTheme="majorHAnsi" w:cstheme="majorHAnsi"/>
          <w:color w:val="FF0000"/>
        </w:rPr>
        <w:t xml:space="preserve"> (RA) – se </w:t>
      </w:r>
      <w:r w:rsidR="00C27383" w:rsidRPr="00E43A49">
        <w:rPr>
          <w:rFonts w:asciiTheme="majorHAnsi" w:hAnsiTheme="majorHAnsi" w:cstheme="majorHAnsi"/>
          <w:color w:val="FF0000"/>
        </w:rPr>
        <w:t>indică</w:t>
      </w:r>
      <w:r w:rsidRPr="00E43A49">
        <w:rPr>
          <w:rFonts w:asciiTheme="majorHAnsi" w:hAnsiTheme="majorHAnsi" w:cstheme="majorHAnsi"/>
          <w:color w:val="FF0000"/>
        </w:rPr>
        <w:t xml:space="preserve"> codul raionului administrativ în care este amplasat sectorul</w:t>
      </w:r>
    </w:p>
    <w:p w:rsidR="009C318B" w:rsidRPr="00E43A49" w:rsidRDefault="009C318B" w:rsidP="0006063B">
      <w:pPr>
        <w:spacing w:before="0" w:after="0" w:line="240" w:lineRule="auto"/>
        <w:contextualSpacing/>
        <w:rPr>
          <w:rFonts w:asciiTheme="majorHAnsi" w:eastAsiaTheme="minorHAnsi" w:hAnsiTheme="majorHAnsi" w:cstheme="majorHAnsi"/>
          <w:color w:val="FF0000"/>
        </w:rPr>
      </w:pPr>
      <w:r w:rsidRPr="00E43A49">
        <w:rPr>
          <w:rFonts w:asciiTheme="majorHAnsi" w:eastAsiaTheme="minorHAnsi" w:hAnsiTheme="majorHAnsi" w:cstheme="majorHAnsi"/>
          <w:color w:val="FF0000"/>
        </w:rPr>
        <w:t xml:space="preserve">Coloana 2 </w:t>
      </w:r>
      <w:r w:rsidR="00FF61B0" w:rsidRPr="00E43A49">
        <w:rPr>
          <w:rFonts w:asciiTheme="majorHAnsi" w:eastAsiaTheme="minorHAnsi" w:hAnsiTheme="majorHAnsi" w:cstheme="majorHAnsi"/>
          <w:color w:val="FF0000"/>
        </w:rPr>
        <w:tab/>
      </w:r>
      <w:r w:rsidRPr="00E43A49">
        <w:rPr>
          <w:rFonts w:asciiTheme="majorHAnsi" w:eastAsiaTheme="minorHAnsi" w:hAnsiTheme="majorHAnsi" w:cstheme="majorHAnsi"/>
          <w:color w:val="FF0000"/>
        </w:rPr>
        <w:t xml:space="preserve">(Primăria) – se </w:t>
      </w:r>
      <w:r w:rsidR="00C27383" w:rsidRPr="00E43A49">
        <w:rPr>
          <w:rFonts w:asciiTheme="majorHAnsi" w:eastAsiaTheme="minorHAnsi" w:hAnsiTheme="majorHAnsi" w:cstheme="majorHAnsi"/>
          <w:color w:val="FF0000"/>
        </w:rPr>
        <w:t xml:space="preserve">indică </w:t>
      </w:r>
      <w:r w:rsidRPr="00E43A49">
        <w:rPr>
          <w:rFonts w:asciiTheme="majorHAnsi" w:eastAsiaTheme="minorHAnsi" w:hAnsiTheme="majorHAnsi" w:cstheme="majorHAnsi"/>
          <w:color w:val="FF0000"/>
        </w:rPr>
        <w:t>denumirea primăriei în care este amplasat sectorul</w:t>
      </w:r>
    </w:p>
    <w:p w:rsidR="009C318B" w:rsidRPr="00140E94" w:rsidRDefault="009C318B" w:rsidP="0006063B">
      <w:pPr>
        <w:spacing w:before="0" w:after="0" w:line="240" w:lineRule="auto"/>
        <w:ind w:left="1440" w:hanging="1440"/>
        <w:rPr>
          <w:rFonts w:asciiTheme="majorHAnsi" w:hAnsiTheme="majorHAnsi" w:cstheme="majorHAnsi"/>
          <w:color w:val="FF0000"/>
        </w:rPr>
      </w:pPr>
      <w:r w:rsidRPr="00140E94">
        <w:rPr>
          <w:rFonts w:asciiTheme="majorHAnsi" w:hAnsiTheme="majorHAnsi" w:cstheme="majorHAnsi"/>
          <w:color w:val="FF0000"/>
        </w:rPr>
        <w:t xml:space="preserve">Coloana 3 </w:t>
      </w:r>
      <w:r w:rsidR="00FF61B0" w:rsidRPr="00140E94">
        <w:rPr>
          <w:rFonts w:asciiTheme="majorHAnsi" w:hAnsiTheme="majorHAnsi" w:cstheme="majorHAnsi"/>
          <w:color w:val="FF0000"/>
        </w:rPr>
        <w:tab/>
      </w:r>
      <w:r w:rsidRPr="00140E94">
        <w:rPr>
          <w:rFonts w:asciiTheme="majorHAnsi" w:hAnsiTheme="majorHAnsi" w:cstheme="majorHAnsi"/>
          <w:color w:val="FF0000"/>
        </w:rPr>
        <w:t>(Contur cadastral</w:t>
      </w:r>
      <w:r w:rsidR="00AF4AE7" w:rsidRPr="00140E94">
        <w:rPr>
          <w:rFonts w:asciiTheme="majorHAnsi" w:hAnsiTheme="majorHAnsi" w:cstheme="majorHAnsi"/>
          <w:color w:val="FF0000"/>
        </w:rPr>
        <w:t>)</w:t>
      </w:r>
      <w:r w:rsidRPr="00140E94">
        <w:rPr>
          <w:rFonts w:asciiTheme="majorHAnsi" w:hAnsiTheme="majorHAnsi" w:cstheme="majorHAnsi"/>
          <w:color w:val="FF0000"/>
        </w:rPr>
        <w:t xml:space="preserve"> (CC) – se </w:t>
      </w:r>
      <w:r w:rsidR="00C27383" w:rsidRPr="00140E94">
        <w:rPr>
          <w:rFonts w:asciiTheme="majorHAnsi" w:hAnsiTheme="majorHAnsi" w:cstheme="majorHAnsi"/>
          <w:color w:val="FF0000"/>
        </w:rPr>
        <w:t xml:space="preserve">indică </w:t>
      </w:r>
      <w:r w:rsidRPr="00140E94">
        <w:rPr>
          <w:rFonts w:asciiTheme="majorHAnsi" w:hAnsiTheme="majorHAnsi" w:cstheme="majorHAnsi"/>
          <w:color w:val="FF0000"/>
        </w:rPr>
        <w:t>numărul conturului cadastral în care este amplasat sectorul, în cazul când sectorul nu are atribuită o unitate amenajistică</w:t>
      </w:r>
      <w:r w:rsidR="00C27383" w:rsidRPr="00140E94">
        <w:rPr>
          <w:rFonts w:asciiTheme="majorHAnsi" w:hAnsiTheme="majorHAnsi" w:cstheme="majorHAnsi"/>
          <w:color w:val="FF0000"/>
        </w:rPr>
        <w:t xml:space="preserve"> (adică sectorul este deja parcurs/acoperit cu lucrări de amenajare)</w:t>
      </w:r>
    </w:p>
    <w:p w:rsidR="009C318B" w:rsidRPr="005A7E27" w:rsidRDefault="009C318B" w:rsidP="00B356A1">
      <w:pPr>
        <w:spacing w:before="0" w:after="0" w:line="240" w:lineRule="auto"/>
        <w:ind w:left="1440" w:hanging="1440"/>
        <w:rPr>
          <w:rFonts w:asciiTheme="majorHAnsi" w:hAnsiTheme="majorHAnsi" w:cstheme="majorHAnsi"/>
        </w:rPr>
      </w:pPr>
      <w:r w:rsidRPr="005A7E27">
        <w:rPr>
          <w:rFonts w:asciiTheme="majorHAnsi" w:hAnsiTheme="majorHAnsi" w:cstheme="majorHAnsi"/>
        </w:rPr>
        <w:lastRenderedPageBreak/>
        <w:t xml:space="preserve">Coloana  4 </w:t>
      </w:r>
      <w:r w:rsidR="00FF61B0" w:rsidRPr="005A7E27">
        <w:rPr>
          <w:rFonts w:asciiTheme="majorHAnsi" w:hAnsiTheme="majorHAnsi" w:cstheme="majorHAnsi"/>
        </w:rPr>
        <w:tab/>
      </w:r>
      <w:r w:rsidRPr="005A7E27">
        <w:rPr>
          <w:rFonts w:asciiTheme="majorHAnsi" w:hAnsiTheme="majorHAnsi" w:cstheme="majorHAnsi"/>
        </w:rPr>
        <w:t>(Entitatea silvică</w:t>
      </w:r>
      <w:r w:rsidR="00C27383" w:rsidRPr="005A7E27">
        <w:rPr>
          <w:rFonts w:asciiTheme="majorHAnsi" w:hAnsiTheme="majorHAnsi" w:cstheme="majorHAnsi"/>
        </w:rPr>
        <w:t>)</w:t>
      </w:r>
      <w:r w:rsidRPr="005A7E27">
        <w:rPr>
          <w:rFonts w:asciiTheme="majorHAnsi" w:hAnsiTheme="majorHAnsi" w:cstheme="majorHAnsi"/>
        </w:rPr>
        <w:t xml:space="preserve"> (ES) – se </w:t>
      </w:r>
      <w:r w:rsidR="00C164DE" w:rsidRPr="005A7E27">
        <w:rPr>
          <w:rFonts w:asciiTheme="majorHAnsi" w:hAnsiTheme="majorHAnsi" w:cstheme="majorHAnsi"/>
        </w:rPr>
        <w:t>indică</w:t>
      </w:r>
      <w:r w:rsidRPr="005A7E27">
        <w:rPr>
          <w:rFonts w:asciiTheme="majorHAnsi" w:hAnsiTheme="majorHAnsi" w:cstheme="majorHAnsi"/>
        </w:rPr>
        <w:t xml:space="preserve"> codul entității silvice </w:t>
      </w:r>
      <w:r w:rsidR="00C164DE" w:rsidRPr="005A7E27">
        <w:rPr>
          <w:rFonts w:asciiTheme="majorHAnsi" w:hAnsiTheme="majorHAnsi" w:cstheme="majorHAnsi"/>
        </w:rPr>
        <w:t xml:space="preserve">(din cadrul Agenției Moldsilva) care </w:t>
      </w:r>
      <w:r w:rsidR="00B356A1">
        <w:rPr>
          <w:rFonts w:asciiTheme="majorHAnsi" w:hAnsiTheme="majorHAnsi" w:cstheme="majorHAnsi"/>
        </w:rPr>
        <w:t>va</w:t>
      </w:r>
      <w:r w:rsidR="00C164DE" w:rsidRPr="005A7E27">
        <w:rPr>
          <w:rFonts w:asciiTheme="majorHAnsi" w:hAnsiTheme="majorHAnsi" w:cstheme="majorHAnsi"/>
        </w:rPr>
        <w:t xml:space="preserve"> executa lucrările</w:t>
      </w:r>
      <w:r w:rsidR="00B356A1">
        <w:rPr>
          <w:rFonts w:asciiTheme="majorHAnsi" w:hAnsiTheme="majorHAnsi" w:cstheme="majorHAnsi"/>
        </w:rPr>
        <w:t xml:space="preserve"> sau/și cu care există potențiale parteneriate de colaborare</w:t>
      </w:r>
    </w:p>
    <w:p w:rsidR="009C318B" w:rsidRPr="00140E94" w:rsidRDefault="009C318B" w:rsidP="0006063B">
      <w:pPr>
        <w:spacing w:before="0" w:after="0" w:line="240" w:lineRule="auto"/>
        <w:ind w:left="1440" w:hanging="1440"/>
        <w:contextualSpacing/>
        <w:rPr>
          <w:rFonts w:asciiTheme="majorHAnsi" w:eastAsiaTheme="minorHAnsi" w:hAnsiTheme="majorHAnsi" w:cstheme="majorHAnsi"/>
          <w:color w:val="FF0000"/>
        </w:rPr>
      </w:pPr>
      <w:r w:rsidRPr="00140E94">
        <w:rPr>
          <w:rFonts w:asciiTheme="majorHAnsi" w:eastAsiaTheme="minorHAnsi" w:hAnsiTheme="majorHAnsi" w:cstheme="majorHAnsi"/>
          <w:color w:val="FF0000"/>
        </w:rPr>
        <w:t xml:space="preserve">Coloana 5 </w:t>
      </w:r>
      <w:r w:rsidR="00FF61B0" w:rsidRPr="00140E94">
        <w:rPr>
          <w:rFonts w:asciiTheme="majorHAnsi" w:eastAsiaTheme="minorHAnsi" w:hAnsiTheme="majorHAnsi" w:cstheme="majorHAnsi"/>
          <w:color w:val="FF0000"/>
        </w:rPr>
        <w:tab/>
      </w:r>
      <w:r w:rsidRPr="00140E94">
        <w:rPr>
          <w:rFonts w:asciiTheme="majorHAnsi" w:eastAsiaTheme="minorHAnsi" w:hAnsiTheme="majorHAnsi" w:cstheme="majorHAnsi"/>
          <w:color w:val="FF0000"/>
        </w:rPr>
        <w:t>(Aria, ha) – se expune suprafața sectorului conform cadastrului funciar, materialelor de amenajament silvic sau studiilor/inventarierilor realizate de entitatea silvică (ES)/primărie</w:t>
      </w:r>
      <w:r w:rsidR="00C164DE" w:rsidRPr="00140E94">
        <w:rPr>
          <w:rFonts w:asciiTheme="majorHAnsi" w:eastAsiaTheme="minorHAnsi" w:hAnsiTheme="majorHAnsi" w:cstheme="majorHAnsi"/>
          <w:color w:val="FF0000"/>
        </w:rPr>
        <w:t xml:space="preserve"> sau de altă structură specializată</w:t>
      </w:r>
    </w:p>
    <w:p w:rsidR="009C318B" w:rsidRPr="00140E94" w:rsidRDefault="009C318B" w:rsidP="0006063B">
      <w:pPr>
        <w:spacing w:before="0" w:after="0" w:line="240" w:lineRule="auto"/>
        <w:ind w:left="1440" w:hanging="1440"/>
        <w:contextualSpacing/>
        <w:rPr>
          <w:rFonts w:asciiTheme="majorHAnsi" w:eastAsiaTheme="minorHAnsi" w:hAnsiTheme="majorHAnsi" w:cstheme="majorHAnsi"/>
          <w:color w:val="FF0000"/>
        </w:rPr>
      </w:pPr>
      <w:r w:rsidRPr="00140E94">
        <w:rPr>
          <w:rFonts w:asciiTheme="majorHAnsi" w:eastAsiaTheme="minorHAnsi" w:hAnsiTheme="majorHAnsi" w:cstheme="majorHAnsi"/>
          <w:color w:val="FF0000"/>
        </w:rPr>
        <w:t xml:space="preserve">Coloana 6 </w:t>
      </w:r>
      <w:r w:rsidR="00FF61B0" w:rsidRPr="00140E94">
        <w:rPr>
          <w:rFonts w:asciiTheme="majorHAnsi" w:eastAsiaTheme="minorHAnsi" w:hAnsiTheme="majorHAnsi" w:cstheme="majorHAnsi"/>
          <w:color w:val="FF0000"/>
        </w:rPr>
        <w:tab/>
      </w:r>
      <w:r w:rsidRPr="00140E94">
        <w:rPr>
          <w:rFonts w:asciiTheme="majorHAnsi" w:eastAsiaTheme="minorHAnsi" w:hAnsiTheme="majorHAnsi" w:cstheme="majorHAnsi"/>
          <w:color w:val="FF0000"/>
        </w:rPr>
        <w:t>(Categoria de vegetație forestieră (CVF) – se expune categoria în care se încadrează vegetația forestieră destinate reabilitării – păduri/arborete (P); perdele forestiere (PFP); culturi silvice în creștere (CSC)</w:t>
      </w:r>
    </w:p>
    <w:p w:rsidR="00E20381" w:rsidRPr="005A7E27" w:rsidRDefault="009C318B" w:rsidP="002A62C0">
      <w:pPr>
        <w:spacing w:before="0" w:after="0" w:line="240" w:lineRule="auto"/>
        <w:ind w:left="1440" w:hanging="1440"/>
        <w:contextualSpacing/>
        <w:rPr>
          <w:rFonts w:asciiTheme="majorHAnsi" w:eastAsiaTheme="minorHAnsi" w:hAnsiTheme="majorHAnsi" w:cstheme="majorHAnsi"/>
        </w:rPr>
      </w:pPr>
      <w:r w:rsidRPr="005A7E27">
        <w:rPr>
          <w:rFonts w:asciiTheme="majorHAnsi" w:eastAsiaTheme="minorHAnsi" w:hAnsiTheme="majorHAnsi" w:cstheme="majorHAnsi"/>
        </w:rPr>
        <w:t xml:space="preserve">Coloana 7 </w:t>
      </w:r>
      <w:r w:rsidR="002A62C0" w:rsidRPr="005A7E27">
        <w:rPr>
          <w:rFonts w:asciiTheme="majorHAnsi" w:eastAsiaTheme="minorHAnsi" w:hAnsiTheme="majorHAnsi" w:cstheme="majorHAnsi"/>
        </w:rPr>
        <w:tab/>
      </w:r>
      <w:r w:rsidRPr="005A7E27">
        <w:rPr>
          <w:rFonts w:asciiTheme="majorHAnsi" w:eastAsiaTheme="minorHAnsi" w:hAnsiTheme="majorHAnsi" w:cstheme="majorHAnsi"/>
        </w:rPr>
        <w:t>(Specia predominantă) – se expune prin cod specia care predomină în compoziția arboretului tânăr sau culturilor silvice (de exemplu:  PLN; ST; GO; SC; JU etc.) conform materialelor de amenajament silvic sau studiilor/inventarierilor realizate de entitatea silvică/primărie</w:t>
      </w:r>
      <w:r w:rsidR="00BD4EAD" w:rsidRPr="005A7E27">
        <w:rPr>
          <w:rFonts w:asciiTheme="majorHAnsi" w:eastAsiaTheme="minorHAnsi" w:hAnsiTheme="majorHAnsi" w:cstheme="majorHAnsi"/>
        </w:rPr>
        <w:t>. NB: se indică conform listei de abreviere ale specialilor forestiere de arbori și arbuști utilizați în Republica Moldova fie România (</w:t>
      </w:r>
      <w:hyperlink r:id="rId11" w:history="1">
        <w:r w:rsidR="00BD4EAD" w:rsidRPr="005A7E27">
          <w:rPr>
            <w:rStyle w:val="ad"/>
            <w:rFonts w:asciiTheme="majorHAnsi" w:eastAsiaTheme="minorHAnsi" w:hAnsiTheme="majorHAnsi" w:cstheme="majorHAnsi"/>
          </w:rPr>
          <w:t>http://www.primaria-crangurile.ro/crangurile/fisiere_download_pdf/anunturi_publice_pdf/Lista%20de%20arbusti%20pentru%20impadurire%20_dec_2018.pdf</w:t>
        </w:r>
      </w:hyperlink>
      <w:r w:rsidR="00BD4EAD" w:rsidRPr="005A7E27">
        <w:rPr>
          <w:rFonts w:asciiTheme="majorHAnsi" w:eastAsiaTheme="minorHAnsi" w:hAnsiTheme="majorHAnsi" w:cstheme="majorHAnsi"/>
        </w:rPr>
        <w:t xml:space="preserve">).  </w:t>
      </w:r>
    </w:p>
    <w:p w:rsidR="00B16EF7" w:rsidRPr="005A7E27" w:rsidRDefault="009C318B" w:rsidP="002A62C0">
      <w:pPr>
        <w:spacing w:before="0" w:after="0" w:line="240" w:lineRule="auto"/>
        <w:ind w:left="1440" w:hanging="1440"/>
        <w:contextualSpacing/>
        <w:rPr>
          <w:rFonts w:asciiTheme="majorHAnsi" w:eastAsiaTheme="minorHAnsi" w:hAnsiTheme="majorHAnsi" w:cstheme="majorHAnsi"/>
        </w:rPr>
      </w:pPr>
      <w:r w:rsidRPr="005A7E27">
        <w:rPr>
          <w:rFonts w:asciiTheme="majorHAnsi" w:eastAsiaTheme="minorHAnsi" w:hAnsiTheme="majorHAnsi" w:cstheme="majorHAnsi"/>
        </w:rPr>
        <w:t xml:space="preserve">Coloana 8 </w:t>
      </w:r>
      <w:r w:rsidR="002A62C0" w:rsidRPr="005A7E27">
        <w:rPr>
          <w:rFonts w:asciiTheme="majorHAnsi" w:eastAsiaTheme="minorHAnsi" w:hAnsiTheme="majorHAnsi" w:cstheme="majorHAnsi"/>
        </w:rPr>
        <w:tab/>
      </w:r>
      <w:r w:rsidRPr="005A7E27">
        <w:rPr>
          <w:rFonts w:asciiTheme="majorHAnsi" w:eastAsiaTheme="minorHAnsi" w:hAnsiTheme="majorHAnsi" w:cstheme="majorHAnsi"/>
        </w:rPr>
        <w:t xml:space="preserve">(Compoziția actuală) – se expune compoziția arboretului/perdelelor forestiere/culturilor silvice conform materialelor de amenajament silvic sau studiilor/inventarierilor realizate de entitatea silvică/primărie (de exemplu: </w:t>
      </w:r>
      <w:r w:rsidR="00B16EF7" w:rsidRPr="005A7E27">
        <w:rPr>
          <w:rFonts w:asciiTheme="majorHAnsi" w:eastAsiaTheme="minorHAnsi" w:hAnsiTheme="majorHAnsi" w:cstheme="majorHAnsi"/>
        </w:rPr>
        <w:t>4PLN1ST2FR2TEA1PA)</w:t>
      </w:r>
    </w:p>
    <w:p w:rsidR="009C318B" w:rsidRPr="005A7E27" w:rsidRDefault="009C318B" w:rsidP="00960D29">
      <w:pPr>
        <w:spacing w:before="0" w:after="0" w:line="240" w:lineRule="auto"/>
        <w:ind w:left="1440" w:hanging="1440"/>
        <w:contextualSpacing/>
        <w:rPr>
          <w:rFonts w:asciiTheme="majorHAnsi" w:eastAsiaTheme="minorHAnsi" w:hAnsiTheme="majorHAnsi" w:cstheme="majorHAnsi"/>
        </w:rPr>
      </w:pPr>
      <w:r w:rsidRPr="005A7E27">
        <w:rPr>
          <w:rFonts w:asciiTheme="majorHAnsi" w:eastAsiaTheme="minorHAnsi" w:hAnsiTheme="majorHAnsi" w:cstheme="majorHAnsi"/>
        </w:rPr>
        <w:t xml:space="preserve">Coloana 9 </w:t>
      </w:r>
      <w:r w:rsidR="00960D29" w:rsidRPr="005A7E27">
        <w:rPr>
          <w:rFonts w:asciiTheme="majorHAnsi" w:eastAsiaTheme="minorHAnsi" w:hAnsiTheme="majorHAnsi" w:cstheme="majorHAnsi"/>
        </w:rPr>
        <w:tab/>
      </w:r>
      <w:r w:rsidRPr="005A7E27">
        <w:rPr>
          <w:rFonts w:asciiTheme="majorHAnsi" w:eastAsiaTheme="minorHAnsi" w:hAnsiTheme="majorHAnsi" w:cstheme="majorHAnsi"/>
        </w:rPr>
        <w:t>(Vârsta medie, ani) – conform materialelor de amenajament silvic sau studiilor/inventarierilor realizate de entitatea silvică/primărie se expune vârsta medie a arboretului, perdelei forestiere sau culturilor silvice (</w:t>
      </w:r>
      <w:r w:rsidR="00B16EF7" w:rsidRPr="005A7E27">
        <w:rPr>
          <w:rFonts w:asciiTheme="majorHAnsi" w:eastAsiaTheme="minorHAnsi" w:hAnsiTheme="majorHAnsi" w:cstheme="majorHAnsi"/>
        </w:rPr>
        <w:t>spre</w:t>
      </w:r>
      <w:r w:rsidRPr="005A7E27">
        <w:rPr>
          <w:rFonts w:asciiTheme="majorHAnsi" w:eastAsiaTheme="minorHAnsi" w:hAnsiTheme="majorHAnsi" w:cstheme="majorHAnsi"/>
        </w:rPr>
        <w:t xml:space="preserve"> exemplu</w:t>
      </w:r>
      <w:r w:rsidR="00B16EF7" w:rsidRPr="005A7E27">
        <w:rPr>
          <w:rFonts w:asciiTheme="majorHAnsi" w:eastAsiaTheme="minorHAnsi" w:hAnsiTheme="majorHAnsi" w:cstheme="majorHAnsi"/>
        </w:rPr>
        <w:t xml:space="preserve"> -</w:t>
      </w:r>
      <w:r w:rsidRPr="005A7E27">
        <w:rPr>
          <w:rFonts w:asciiTheme="majorHAnsi" w:eastAsiaTheme="minorHAnsi" w:hAnsiTheme="majorHAnsi" w:cstheme="majorHAnsi"/>
        </w:rPr>
        <w:t xml:space="preserve"> </w:t>
      </w:r>
      <w:r w:rsidR="00B16EF7" w:rsidRPr="005A7E27">
        <w:rPr>
          <w:rFonts w:asciiTheme="majorHAnsi" w:eastAsiaTheme="minorHAnsi" w:hAnsiTheme="majorHAnsi" w:cstheme="majorHAnsi"/>
        </w:rPr>
        <w:t>8,</w:t>
      </w:r>
      <w:r w:rsidRPr="005A7E27">
        <w:rPr>
          <w:rFonts w:asciiTheme="majorHAnsi" w:eastAsiaTheme="minorHAnsi" w:hAnsiTheme="majorHAnsi" w:cstheme="majorHAnsi"/>
        </w:rPr>
        <w:t xml:space="preserve"> </w:t>
      </w:r>
      <w:r w:rsidR="00B16EF7" w:rsidRPr="005A7E27">
        <w:rPr>
          <w:rFonts w:asciiTheme="majorHAnsi" w:eastAsiaTheme="minorHAnsi" w:hAnsiTheme="majorHAnsi" w:cstheme="majorHAnsi"/>
        </w:rPr>
        <w:t>10,</w:t>
      </w:r>
      <w:r w:rsidRPr="005A7E27">
        <w:rPr>
          <w:rFonts w:asciiTheme="majorHAnsi" w:eastAsiaTheme="minorHAnsi" w:hAnsiTheme="majorHAnsi" w:cstheme="majorHAnsi"/>
        </w:rPr>
        <w:t xml:space="preserve"> </w:t>
      </w:r>
      <w:r w:rsidR="00B16EF7" w:rsidRPr="005A7E27">
        <w:rPr>
          <w:rFonts w:asciiTheme="majorHAnsi" w:eastAsiaTheme="minorHAnsi" w:hAnsiTheme="majorHAnsi" w:cstheme="majorHAnsi"/>
        </w:rPr>
        <w:t>20</w:t>
      </w:r>
      <w:r w:rsidRPr="005A7E27">
        <w:rPr>
          <w:rFonts w:asciiTheme="majorHAnsi" w:eastAsiaTheme="minorHAnsi" w:hAnsiTheme="majorHAnsi" w:cstheme="majorHAnsi"/>
        </w:rPr>
        <w:t xml:space="preserve"> </w:t>
      </w:r>
      <w:r w:rsidR="00B16EF7" w:rsidRPr="005A7E27">
        <w:rPr>
          <w:rFonts w:asciiTheme="majorHAnsi" w:eastAsiaTheme="minorHAnsi" w:hAnsiTheme="majorHAnsi" w:cstheme="majorHAnsi"/>
        </w:rPr>
        <w:t>ș.a.m.d.</w:t>
      </w:r>
      <w:r w:rsidRPr="005A7E27">
        <w:rPr>
          <w:rFonts w:asciiTheme="majorHAnsi" w:eastAsiaTheme="minorHAnsi" w:hAnsiTheme="majorHAnsi" w:cstheme="majorHAnsi"/>
        </w:rPr>
        <w:t>)</w:t>
      </w:r>
    </w:p>
    <w:p w:rsidR="00184311" w:rsidRPr="00184311" w:rsidRDefault="009C318B" w:rsidP="00184311">
      <w:pPr>
        <w:spacing w:before="0" w:after="0" w:line="240" w:lineRule="auto"/>
        <w:ind w:left="1440" w:hanging="1440"/>
        <w:contextualSpacing/>
        <w:jc w:val="both"/>
        <w:rPr>
          <w:rFonts w:asciiTheme="majorHAnsi" w:eastAsiaTheme="minorHAnsi" w:hAnsiTheme="majorHAnsi" w:cstheme="majorHAnsi"/>
        </w:rPr>
      </w:pPr>
      <w:r w:rsidRPr="005A7E27">
        <w:rPr>
          <w:rFonts w:asciiTheme="majorHAnsi" w:eastAsiaTheme="minorHAnsi" w:hAnsiTheme="majorHAnsi" w:cstheme="majorHAnsi"/>
        </w:rPr>
        <w:t xml:space="preserve">Coloana 10 </w:t>
      </w:r>
      <w:r w:rsidR="00960D29" w:rsidRPr="005A7E27">
        <w:rPr>
          <w:rFonts w:asciiTheme="majorHAnsi" w:eastAsiaTheme="minorHAnsi" w:hAnsiTheme="majorHAnsi" w:cstheme="majorHAnsi"/>
        </w:rPr>
        <w:tab/>
      </w:r>
      <w:r w:rsidRPr="005A7E27">
        <w:rPr>
          <w:rFonts w:asciiTheme="majorHAnsi" w:eastAsiaTheme="minorHAnsi" w:hAnsiTheme="majorHAnsi" w:cstheme="majorHAnsi"/>
        </w:rPr>
        <w:t>(Consistența /reușita) – conform materialelor de amenajament silvic sau studiilor/inventarierilor realizate de entitatea silvică/primărie se expune pentru arborete și perdele forestiere consistența, iar pentru culturi silvice în creștere – reușita (conform datelor ultimei inventarieri</w:t>
      </w:r>
      <w:r w:rsidR="00960D29" w:rsidRPr="005A7E27">
        <w:rPr>
          <w:rFonts w:asciiTheme="majorHAnsi" w:eastAsiaTheme="minorHAnsi" w:hAnsiTheme="majorHAnsi" w:cstheme="majorHAnsi"/>
        </w:rPr>
        <w:t xml:space="preserve"> de vegetație</w:t>
      </w:r>
      <w:r w:rsidRPr="005A7E27">
        <w:rPr>
          <w:rFonts w:asciiTheme="majorHAnsi" w:eastAsiaTheme="minorHAnsi" w:hAnsiTheme="majorHAnsi" w:cstheme="majorHAnsi"/>
        </w:rPr>
        <w:t>)</w:t>
      </w:r>
      <w:r w:rsidR="00184311">
        <w:rPr>
          <w:rFonts w:asciiTheme="majorHAnsi" w:eastAsiaTheme="minorHAnsi" w:hAnsiTheme="majorHAnsi" w:cstheme="majorHAnsi"/>
        </w:rPr>
        <w:t>. Se indică valori de la 0</w:t>
      </w:r>
      <w:r w:rsidR="003E195B">
        <w:rPr>
          <w:rFonts w:asciiTheme="majorHAnsi" w:eastAsiaTheme="minorHAnsi" w:hAnsiTheme="majorHAnsi" w:cstheme="majorHAnsi"/>
        </w:rPr>
        <w:t>.</w:t>
      </w:r>
      <w:r w:rsidR="00184311">
        <w:rPr>
          <w:rFonts w:asciiTheme="majorHAnsi" w:eastAsiaTheme="minorHAnsi" w:hAnsiTheme="majorHAnsi" w:cstheme="majorHAnsi"/>
        </w:rPr>
        <w:t>1 (cel mai scăzut) la 1</w:t>
      </w:r>
      <w:r w:rsidR="003E195B">
        <w:rPr>
          <w:rFonts w:asciiTheme="majorHAnsi" w:eastAsiaTheme="minorHAnsi" w:hAnsiTheme="majorHAnsi" w:cstheme="majorHAnsi"/>
        </w:rPr>
        <w:t>.</w:t>
      </w:r>
      <w:r w:rsidR="00184311">
        <w:rPr>
          <w:rFonts w:asciiTheme="majorHAnsi" w:eastAsiaTheme="minorHAnsi" w:hAnsiTheme="majorHAnsi" w:cstheme="majorHAnsi"/>
        </w:rPr>
        <w:t xml:space="preserve">0 (cel mai înalt), conform </w:t>
      </w:r>
      <w:r w:rsidR="00184311" w:rsidRPr="00184311">
        <w:rPr>
          <w:rFonts w:asciiTheme="majorHAnsi" w:eastAsiaTheme="minorHAnsi" w:hAnsiTheme="majorHAnsi" w:cstheme="majorHAnsi"/>
        </w:rPr>
        <w:t>gradului de închidere al coronamentului arboretele</w:t>
      </w:r>
      <w:r w:rsidR="00184311">
        <w:rPr>
          <w:rFonts w:asciiTheme="majorHAnsi" w:eastAsiaTheme="minorHAnsi" w:hAnsiTheme="majorHAnsi" w:cstheme="majorHAnsi"/>
        </w:rPr>
        <w:t xml:space="preserve"> (</w:t>
      </w:r>
      <w:r w:rsidR="00184311" w:rsidRPr="00184311">
        <w:rPr>
          <w:rFonts w:asciiTheme="majorHAnsi" w:eastAsiaTheme="minorHAnsi" w:hAnsiTheme="majorHAnsi" w:cstheme="majorHAnsi"/>
        </w:rPr>
        <w:t xml:space="preserve">se clasifică </w:t>
      </w:r>
      <w:r w:rsidR="00184311">
        <w:rPr>
          <w:rFonts w:asciiTheme="majorHAnsi" w:eastAsiaTheme="minorHAnsi" w:hAnsiTheme="majorHAnsi" w:cstheme="majorHAnsi"/>
        </w:rPr>
        <w:t xml:space="preserve">după </w:t>
      </w:r>
      <w:r w:rsidR="00184311" w:rsidRPr="00184311">
        <w:rPr>
          <w:rFonts w:asciiTheme="majorHAnsi" w:eastAsiaTheme="minorHAnsi" w:hAnsiTheme="majorHAnsi" w:cstheme="majorHAnsi"/>
        </w:rPr>
        <w:t>Negulescu</w:t>
      </w:r>
      <w:r w:rsidR="00184311">
        <w:rPr>
          <w:rFonts w:asciiTheme="majorHAnsi" w:eastAsiaTheme="minorHAnsi" w:hAnsiTheme="majorHAnsi" w:cstheme="majorHAnsi"/>
        </w:rPr>
        <w:t>)</w:t>
      </w:r>
      <w:r w:rsidR="00184311" w:rsidRPr="00184311">
        <w:rPr>
          <w:rFonts w:asciiTheme="majorHAnsi" w:eastAsiaTheme="minorHAnsi" w:hAnsiTheme="majorHAnsi" w:cstheme="majorHAnsi"/>
        </w:rPr>
        <w:t>:</w:t>
      </w:r>
    </w:p>
    <w:p w:rsidR="00184311" w:rsidRPr="00184311" w:rsidRDefault="00184311" w:rsidP="00184311">
      <w:pPr>
        <w:spacing w:before="0" w:after="0" w:line="240" w:lineRule="auto"/>
        <w:ind w:left="1440" w:firstLine="720"/>
        <w:contextualSpacing/>
        <w:jc w:val="both"/>
        <w:rPr>
          <w:rFonts w:asciiTheme="majorHAnsi" w:eastAsiaTheme="minorHAnsi" w:hAnsiTheme="majorHAnsi" w:cstheme="majorHAnsi"/>
        </w:rPr>
      </w:pPr>
      <w:r w:rsidRPr="00184311">
        <w:rPr>
          <w:rFonts w:asciiTheme="majorHAnsi" w:eastAsiaTheme="minorHAnsi" w:hAnsiTheme="majorHAnsi" w:cstheme="majorHAnsi"/>
        </w:rPr>
        <w:t>arborete cu consistenţă plină (1.0)</w:t>
      </w:r>
    </w:p>
    <w:p w:rsidR="00184311" w:rsidRPr="00184311" w:rsidRDefault="00184311" w:rsidP="00184311">
      <w:pPr>
        <w:spacing w:before="0" w:after="0" w:line="240" w:lineRule="auto"/>
        <w:ind w:left="1440" w:firstLine="720"/>
        <w:contextualSpacing/>
        <w:jc w:val="both"/>
        <w:rPr>
          <w:rFonts w:asciiTheme="majorHAnsi" w:eastAsiaTheme="minorHAnsi" w:hAnsiTheme="majorHAnsi" w:cstheme="majorHAnsi"/>
        </w:rPr>
      </w:pPr>
      <w:r w:rsidRPr="00184311">
        <w:rPr>
          <w:rFonts w:asciiTheme="majorHAnsi" w:eastAsiaTheme="minorHAnsi" w:hAnsiTheme="majorHAnsi" w:cstheme="majorHAnsi"/>
        </w:rPr>
        <w:t>arborete cu consistenţă aproape plină (0.7-0.9)</w:t>
      </w:r>
    </w:p>
    <w:p w:rsidR="00184311" w:rsidRPr="00184311" w:rsidRDefault="00184311" w:rsidP="00184311">
      <w:pPr>
        <w:spacing w:before="0" w:after="0" w:line="240" w:lineRule="auto"/>
        <w:ind w:left="1440" w:firstLine="720"/>
        <w:contextualSpacing/>
        <w:jc w:val="both"/>
        <w:rPr>
          <w:rFonts w:asciiTheme="majorHAnsi" w:eastAsiaTheme="minorHAnsi" w:hAnsiTheme="majorHAnsi" w:cstheme="majorHAnsi"/>
        </w:rPr>
      </w:pPr>
      <w:r w:rsidRPr="00184311">
        <w:rPr>
          <w:rFonts w:asciiTheme="majorHAnsi" w:eastAsiaTheme="minorHAnsi" w:hAnsiTheme="majorHAnsi" w:cstheme="majorHAnsi"/>
        </w:rPr>
        <w:t>arborete cu consistenţă rărită, luminate sau brăcuite (0.4-0.6)</w:t>
      </w:r>
    </w:p>
    <w:p w:rsidR="00184311" w:rsidRDefault="00184311" w:rsidP="00184311">
      <w:pPr>
        <w:spacing w:before="0" w:after="0" w:line="240" w:lineRule="auto"/>
        <w:ind w:left="1440" w:firstLine="720"/>
        <w:contextualSpacing/>
        <w:jc w:val="both"/>
        <w:rPr>
          <w:rFonts w:asciiTheme="majorHAnsi" w:eastAsiaTheme="minorHAnsi" w:hAnsiTheme="majorHAnsi" w:cstheme="majorHAnsi"/>
        </w:rPr>
      </w:pPr>
      <w:r w:rsidRPr="00184311">
        <w:rPr>
          <w:rFonts w:asciiTheme="majorHAnsi" w:eastAsiaTheme="minorHAnsi" w:hAnsiTheme="majorHAnsi" w:cstheme="majorHAnsi"/>
        </w:rPr>
        <w:t>arborete cu consistenţă degradată sau poienite (0,1-0,3)</w:t>
      </w:r>
    </w:p>
    <w:p w:rsidR="009C318B" w:rsidRPr="00EB7FCF" w:rsidRDefault="009C318B" w:rsidP="00172B12">
      <w:pPr>
        <w:spacing w:before="0" w:after="0" w:line="240" w:lineRule="auto"/>
        <w:ind w:left="1440" w:hanging="1440"/>
        <w:contextualSpacing/>
        <w:jc w:val="both"/>
        <w:rPr>
          <w:rFonts w:asciiTheme="majorHAnsi" w:eastAsiaTheme="minorHAnsi" w:hAnsiTheme="majorHAnsi" w:cstheme="majorHAnsi"/>
          <w:color w:val="FF0000"/>
        </w:rPr>
      </w:pPr>
      <w:r w:rsidRPr="00EB7FCF">
        <w:rPr>
          <w:rFonts w:asciiTheme="majorHAnsi" w:eastAsiaTheme="minorHAnsi" w:hAnsiTheme="majorHAnsi" w:cstheme="majorHAnsi"/>
          <w:color w:val="FF0000"/>
        </w:rPr>
        <w:t>Coloana 1</w:t>
      </w:r>
      <w:r w:rsidR="00AF4AE7" w:rsidRPr="00EB7FCF">
        <w:rPr>
          <w:rFonts w:asciiTheme="majorHAnsi" w:eastAsiaTheme="minorHAnsi" w:hAnsiTheme="majorHAnsi" w:cstheme="majorHAnsi"/>
          <w:color w:val="FF0000"/>
        </w:rPr>
        <w:t>1</w:t>
      </w:r>
      <w:r w:rsidRPr="00EB7FCF">
        <w:rPr>
          <w:rFonts w:asciiTheme="majorHAnsi" w:eastAsiaTheme="minorHAnsi" w:hAnsiTheme="majorHAnsi" w:cstheme="majorHAnsi"/>
          <w:color w:val="FF0000"/>
        </w:rPr>
        <w:t xml:space="preserve"> </w:t>
      </w:r>
      <w:r w:rsidR="00172B12" w:rsidRPr="00EB7FCF">
        <w:rPr>
          <w:rFonts w:asciiTheme="majorHAnsi" w:eastAsiaTheme="minorHAnsi" w:hAnsiTheme="majorHAnsi" w:cstheme="majorHAnsi"/>
          <w:color w:val="FF0000"/>
        </w:rPr>
        <w:tab/>
      </w:r>
      <w:r w:rsidRPr="00EB7FCF">
        <w:rPr>
          <w:rFonts w:asciiTheme="majorHAnsi" w:eastAsiaTheme="minorHAnsi" w:hAnsiTheme="majorHAnsi" w:cstheme="majorHAnsi"/>
          <w:color w:val="FF0000"/>
        </w:rPr>
        <w:t>(Metoda de reabilitare) – conform materialelor de amenajament silvic sau studiilor/inventarierilor realizate de entitatea silvică/primărie se expune metoda de reabilitare planificată: substituire sau refacere</w:t>
      </w:r>
    </w:p>
    <w:p w:rsidR="009C318B" w:rsidRPr="005A7E27" w:rsidRDefault="009C318B" w:rsidP="00E86699">
      <w:pPr>
        <w:spacing w:before="0" w:after="0" w:line="240" w:lineRule="auto"/>
        <w:ind w:left="1440" w:hanging="1440"/>
        <w:contextualSpacing/>
        <w:jc w:val="both"/>
        <w:rPr>
          <w:rFonts w:asciiTheme="majorHAnsi" w:eastAsiaTheme="minorHAnsi" w:hAnsiTheme="majorHAnsi" w:cstheme="majorHAnsi"/>
        </w:rPr>
      </w:pPr>
      <w:r w:rsidRPr="005A7E27">
        <w:rPr>
          <w:rFonts w:asciiTheme="majorHAnsi" w:eastAsiaTheme="minorHAnsi" w:hAnsiTheme="majorHAnsi" w:cstheme="majorHAnsi"/>
        </w:rPr>
        <w:t>Coloana 1</w:t>
      </w:r>
      <w:r w:rsidR="00AF4AE7">
        <w:rPr>
          <w:rFonts w:asciiTheme="majorHAnsi" w:eastAsiaTheme="minorHAnsi" w:hAnsiTheme="majorHAnsi" w:cstheme="majorHAnsi"/>
        </w:rPr>
        <w:t>2</w:t>
      </w:r>
      <w:r w:rsidRPr="005A7E27">
        <w:rPr>
          <w:rFonts w:asciiTheme="majorHAnsi" w:eastAsiaTheme="minorHAnsi" w:hAnsiTheme="majorHAnsi" w:cstheme="majorHAnsi"/>
        </w:rPr>
        <w:t xml:space="preserve"> </w:t>
      </w:r>
      <w:r w:rsidR="00E86699">
        <w:rPr>
          <w:rFonts w:asciiTheme="majorHAnsi" w:eastAsiaTheme="minorHAnsi" w:hAnsiTheme="majorHAnsi" w:cstheme="majorHAnsi"/>
        </w:rPr>
        <w:tab/>
      </w:r>
      <w:r w:rsidRPr="005A7E27">
        <w:rPr>
          <w:rFonts w:asciiTheme="majorHAnsi" w:eastAsiaTheme="minorHAnsi" w:hAnsiTheme="majorHAnsi" w:cstheme="majorHAnsi"/>
        </w:rPr>
        <w:t>(Specia predominantă) – conform materialelor de amenajament silvic sau studiilor/inventarierilor realizate de entitatea silvică/primărie se expune prin cod specia care va predomina în compoziția de reabilitare a arboretului, perdelei forestiere sau culturilor silvice (</w:t>
      </w:r>
      <w:r w:rsidR="00E86699">
        <w:rPr>
          <w:rFonts w:asciiTheme="majorHAnsi" w:eastAsiaTheme="minorHAnsi" w:hAnsiTheme="majorHAnsi" w:cstheme="majorHAnsi"/>
        </w:rPr>
        <w:t>folosiți abrevieri, spre exemplu</w:t>
      </w:r>
      <w:r w:rsidRPr="005A7E27">
        <w:rPr>
          <w:rFonts w:asciiTheme="majorHAnsi" w:eastAsiaTheme="minorHAnsi" w:hAnsiTheme="majorHAnsi" w:cstheme="majorHAnsi"/>
        </w:rPr>
        <w:t xml:space="preserve">: </w:t>
      </w:r>
      <w:r w:rsidR="00E86699">
        <w:rPr>
          <w:rFonts w:asciiTheme="majorHAnsi" w:eastAsiaTheme="minorHAnsi" w:hAnsiTheme="majorHAnsi" w:cstheme="majorHAnsi"/>
        </w:rPr>
        <w:t xml:space="preserve">PLT, </w:t>
      </w:r>
      <w:r w:rsidRPr="005A7E27">
        <w:rPr>
          <w:rFonts w:asciiTheme="majorHAnsi" w:eastAsiaTheme="minorHAnsi" w:hAnsiTheme="majorHAnsi" w:cstheme="majorHAnsi"/>
        </w:rPr>
        <w:t>ST</w:t>
      </w:r>
      <w:r w:rsidR="00E86699">
        <w:rPr>
          <w:rFonts w:asciiTheme="majorHAnsi" w:eastAsiaTheme="minorHAnsi" w:hAnsiTheme="majorHAnsi" w:cstheme="majorHAnsi"/>
        </w:rPr>
        <w:t xml:space="preserve">, PLA, </w:t>
      </w:r>
      <w:r w:rsidRPr="005A7E27">
        <w:rPr>
          <w:rFonts w:asciiTheme="majorHAnsi" w:eastAsiaTheme="minorHAnsi" w:hAnsiTheme="majorHAnsi" w:cstheme="majorHAnsi"/>
        </w:rPr>
        <w:t>GO</w:t>
      </w:r>
      <w:r w:rsidR="00E86699">
        <w:rPr>
          <w:rFonts w:asciiTheme="majorHAnsi" w:eastAsiaTheme="minorHAnsi" w:hAnsiTheme="majorHAnsi" w:cstheme="majorHAnsi"/>
        </w:rPr>
        <w:t>, FR etc.)</w:t>
      </w:r>
    </w:p>
    <w:p w:rsidR="009C318B" w:rsidRPr="005A7E27" w:rsidRDefault="009C318B" w:rsidP="00E86699">
      <w:pPr>
        <w:spacing w:before="0" w:after="0" w:line="240" w:lineRule="auto"/>
        <w:ind w:left="1440" w:hanging="1440"/>
        <w:contextualSpacing/>
        <w:jc w:val="both"/>
        <w:rPr>
          <w:rFonts w:asciiTheme="majorHAnsi" w:eastAsiaTheme="minorHAnsi" w:hAnsiTheme="majorHAnsi" w:cstheme="majorHAnsi"/>
        </w:rPr>
      </w:pPr>
      <w:r w:rsidRPr="005A7E27">
        <w:rPr>
          <w:rFonts w:asciiTheme="majorHAnsi" w:eastAsiaTheme="minorHAnsi" w:hAnsiTheme="majorHAnsi" w:cstheme="majorHAnsi"/>
        </w:rPr>
        <w:t>Coloana 1</w:t>
      </w:r>
      <w:r w:rsidR="00AF4AE7">
        <w:rPr>
          <w:rFonts w:asciiTheme="majorHAnsi" w:eastAsiaTheme="minorHAnsi" w:hAnsiTheme="majorHAnsi" w:cstheme="majorHAnsi"/>
        </w:rPr>
        <w:t>3</w:t>
      </w:r>
      <w:r w:rsidRPr="005A7E27">
        <w:rPr>
          <w:rFonts w:asciiTheme="majorHAnsi" w:eastAsiaTheme="minorHAnsi" w:hAnsiTheme="majorHAnsi" w:cstheme="majorHAnsi"/>
        </w:rPr>
        <w:t xml:space="preserve"> </w:t>
      </w:r>
      <w:r w:rsidR="00E86699">
        <w:rPr>
          <w:rFonts w:asciiTheme="majorHAnsi" w:eastAsiaTheme="minorHAnsi" w:hAnsiTheme="majorHAnsi" w:cstheme="majorHAnsi"/>
        </w:rPr>
        <w:tab/>
      </w:r>
      <w:r w:rsidRPr="005A7E27">
        <w:rPr>
          <w:rFonts w:asciiTheme="majorHAnsi" w:eastAsiaTheme="minorHAnsi" w:hAnsiTheme="majorHAnsi" w:cstheme="majorHAnsi"/>
        </w:rPr>
        <w:t>(Compoziția de reabilitare) – se expune compoziția de reabilitare a arboretului/perdelelor forestiere/culturilor silvice conform materialelor de amenajament silvic sau studiilor/inventarierilor realizate de entitatea silvică/primărie (</w:t>
      </w:r>
      <w:r w:rsidR="00E86699">
        <w:rPr>
          <w:rFonts w:asciiTheme="majorHAnsi" w:eastAsiaTheme="minorHAnsi" w:hAnsiTheme="majorHAnsi" w:cstheme="majorHAnsi"/>
        </w:rPr>
        <w:t>spre</w:t>
      </w:r>
      <w:r w:rsidRPr="005A7E27">
        <w:rPr>
          <w:rFonts w:asciiTheme="majorHAnsi" w:eastAsiaTheme="minorHAnsi" w:hAnsiTheme="majorHAnsi" w:cstheme="majorHAnsi"/>
        </w:rPr>
        <w:t xml:space="preserve"> exemplu: </w:t>
      </w:r>
      <w:r w:rsidR="000A2EDD">
        <w:rPr>
          <w:rFonts w:asciiTheme="majorHAnsi" w:eastAsiaTheme="minorHAnsi" w:hAnsiTheme="majorHAnsi" w:cstheme="majorHAnsi"/>
        </w:rPr>
        <w:t>3PLT3</w:t>
      </w:r>
      <w:r w:rsidRPr="005A7E27">
        <w:rPr>
          <w:rFonts w:asciiTheme="majorHAnsi" w:eastAsiaTheme="minorHAnsi" w:hAnsiTheme="majorHAnsi" w:cstheme="majorHAnsi"/>
        </w:rPr>
        <w:t>ST2FR</w:t>
      </w:r>
      <w:r w:rsidR="000A2EDD">
        <w:rPr>
          <w:rFonts w:asciiTheme="majorHAnsi" w:eastAsiaTheme="minorHAnsi" w:hAnsiTheme="majorHAnsi" w:cstheme="majorHAnsi"/>
        </w:rPr>
        <w:t>2</w:t>
      </w:r>
      <w:r w:rsidRPr="005A7E27">
        <w:rPr>
          <w:rFonts w:asciiTheme="majorHAnsi" w:eastAsiaTheme="minorHAnsi" w:hAnsiTheme="majorHAnsi" w:cstheme="majorHAnsi"/>
        </w:rPr>
        <w:t>DT);</w:t>
      </w:r>
    </w:p>
    <w:p w:rsidR="009C318B" w:rsidRPr="005A7E27" w:rsidRDefault="009C318B" w:rsidP="00B356A1">
      <w:pPr>
        <w:spacing w:before="0" w:after="0" w:line="240" w:lineRule="auto"/>
        <w:ind w:left="1440" w:hanging="1440"/>
        <w:contextualSpacing/>
        <w:jc w:val="both"/>
        <w:rPr>
          <w:rFonts w:eastAsiaTheme="minorHAnsi"/>
        </w:rPr>
      </w:pPr>
      <w:r w:rsidRPr="005A7E27">
        <w:rPr>
          <w:rFonts w:asciiTheme="majorHAnsi" w:eastAsiaTheme="minorHAnsi" w:hAnsiTheme="majorHAnsi" w:cstheme="majorHAnsi"/>
        </w:rPr>
        <w:t>Coloana 1</w:t>
      </w:r>
      <w:r w:rsidR="00AF4AE7">
        <w:rPr>
          <w:rFonts w:asciiTheme="majorHAnsi" w:eastAsiaTheme="minorHAnsi" w:hAnsiTheme="majorHAnsi" w:cstheme="majorHAnsi"/>
        </w:rPr>
        <w:t>4</w:t>
      </w:r>
      <w:r w:rsidRPr="005A7E27">
        <w:rPr>
          <w:rFonts w:asciiTheme="majorHAnsi" w:eastAsiaTheme="minorHAnsi" w:hAnsiTheme="majorHAnsi" w:cstheme="majorHAnsi"/>
        </w:rPr>
        <w:t xml:space="preserve"> </w:t>
      </w:r>
      <w:r w:rsidR="000A2EDD">
        <w:rPr>
          <w:rFonts w:asciiTheme="majorHAnsi" w:eastAsiaTheme="minorHAnsi" w:hAnsiTheme="majorHAnsi" w:cstheme="majorHAnsi"/>
        </w:rPr>
        <w:tab/>
      </w:r>
      <w:r w:rsidRPr="005A7E27">
        <w:rPr>
          <w:rFonts w:asciiTheme="majorHAnsi" w:eastAsiaTheme="minorHAnsi" w:hAnsiTheme="majorHAnsi" w:cstheme="majorHAnsi"/>
        </w:rPr>
        <w:t xml:space="preserve">(Note) – se înscrie </w:t>
      </w:r>
      <w:r w:rsidR="000A2EDD">
        <w:rPr>
          <w:rFonts w:asciiTheme="majorHAnsi" w:eastAsiaTheme="minorHAnsi" w:hAnsiTheme="majorHAnsi" w:cstheme="majorHAnsi"/>
        </w:rPr>
        <w:t xml:space="preserve">orice </w:t>
      </w:r>
      <w:r w:rsidRPr="005A7E27">
        <w:rPr>
          <w:rFonts w:asciiTheme="majorHAnsi" w:eastAsiaTheme="minorHAnsi" w:hAnsiTheme="majorHAnsi" w:cstheme="majorHAnsi"/>
        </w:rPr>
        <w:t>informați</w:t>
      </w:r>
      <w:r w:rsidR="000A2EDD">
        <w:rPr>
          <w:rFonts w:asciiTheme="majorHAnsi" w:eastAsiaTheme="minorHAnsi" w:hAnsiTheme="majorHAnsi" w:cstheme="majorHAnsi"/>
        </w:rPr>
        <w:t>e adițională care nu s-a regăsit în coloanele anterioare, dar care</w:t>
      </w:r>
      <w:r w:rsidRPr="005A7E27">
        <w:rPr>
          <w:rFonts w:asciiTheme="majorHAnsi" w:eastAsiaTheme="minorHAnsi" w:hAnsiTheme="majorHAnsi" w:cstheme="majorHAnsi"/>
        </w:rPr>
        <w:t xml:space="preserve"> </w:t>
      </w:r>
      <w:r w:rsidR="000A2EDD">
        <w:rPr>
          <w:rFonts w:asciiTheme="majorHAnsi" w:eastAsiaTheme="minorHAnsi" w:hAnsiTheme="majorHAnsi" w:cstheme="majorHAnsi"/>
        </w:rPr>
        <w:t xml:space="preserve">este </w:t>
      </w:r>
      <w:r w:rsidRPr="005A7E27">
        <w:rPr>
          <w:rFonts w:asciiTheme="majorHAnsi" w:eastAsiaTheme="minorHAnsi" w:hAnsiTheme="majorHAnsi" w:cstheme="majorHAnsi"/>
        </w:rPr>
        <w:t xml:space="preserve">necesară pentru descrierea oportună a aspectelor și circumstanțelor descrise în coloanele </w:t>
      </w:r>
      <w:r w:rsidR="00B356A1">
        <w:rPr>
          <w:rFonts w:asciiTheme="majorHAnsi" w:eastAsiaTheme="minorHAnsi" w:hAnsiTheme="majorHAnsi" w:cstheme="majorHAnsi"/>
        </w:rPr>
        <w:t>anterioare</w:t>
      </w:r>
    </w:p>
    <w:sectPr w:rsidR="009C318B" w:rsidRPr="005A7E27" w:rsidSect="00B356A1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39F" w:rsidRDefault="0040039F" w:rsidP="00E719AA">
      <w:pPr>
        <w:spacing w:after="0" w:line="240" w:lineRule="auto"/>
      </w:pPr>
      <w:r>
        <w:separator/>
      </w:r>
    </w:p>
  </w:endnote>
  <w:endnote w:type="continuationSeparator" w:id="0">
    <w:p w:rsidR="0040039F" w:rsidRDefault="0040039F" w:rsidP="00E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0762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2715" w:rsidRDefault="0049380B">
        <w:pPr>
          <w:pStyle w:val="a5"/>
          <w:jc w:val="right"/>
        </w:pPr>
        <w:r>
          <w:fldChar w:fldCharType="begin"/>
        </w:r>
        <w:r w:rsidR="00C92715">
          <w:instrText xml:space="preserve"> PAGE   \* MERGEFORMAT </w:instrText>
        </w:r>
        <w:r>
          <w:fldChar w:fldCharType="separate"/>
        </w:r>
        <w:r w:rsidR="00EB7F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40F5" w:rsidRDefault="00F64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39F" w:rsidRDefault="0040039F" w:rsidP="00E719AA">
      <w:pPr>
        <w:spacing w:after="0" w:line="240" w:lineRule="auto"/>
      </w:pPr>
      <w:r>
        <w:separator/>
      </w:r>
    </w:p>
  </w:footnote>
  <w:footnote w:type="continuationSeparator" w:id="0">
    <w:p w:rsidR="0040039F" w:rsidRDefault="0040039F" w:rsidP="00E71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D4E"/>
    <w:multiLevelType w:val="hybridMultilevel"/>
    <w:tmpl w:val="B4BE6C04"/>
    <w:lvl w:ilvl="0" w:tplc="766C852E">
      <w:start w:val="1"/>
      <w:numFmt w:val="bullet"/>
      <w:lvlText w:val="–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11B0EEB"/>
    <w:multiLevelType w:val="hybridMultilevel"/>
    <w:tmpl w:val="008A13F6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01485FE7"/>
    <w:multiLevelType w:val="hybridMultilevel"/>
    <w:tmpl w:val="D8B66AB2"/>
    <w:lvl w:ilvl="0" w:tplc="F432AE0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F29EF"/>
    <w:multiLevelType w:val="hybridMultilevel"/>
    <w:tmpl w:val="946A4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03E34"/>
    <w:multiLevelType w:val="hybridMultilevel"/>
    <w:tmpl w:val="322E9D6E"/>
    <w:lvl w:ilvl="0" w:tplc="B01A41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F5760"/>
    <w:multiLevelType w:val="hybridMultilevel"/>
    <w:tmpl w:val="27C63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B2723"/>
    <w:multiLevelType w:val="singleLevel"/>
    <w:tmpl w:val="F63023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6F1DE4"/>
    <w:multiLevelType w:val="hybridMultilevel"/>
    <w:tmpl w:val="7B1AFCA2"/>
    <w:lvl w:ilvl="0" w:tplc="0CEC25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013C3"/>
    <w:multiLevelType w:val="hybridMultilevel"/>
    <w:tmpl w:val="903A7D4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C5C79"/>
    <w:multiLevelType w:val="hybridMultilevel"/>
    <w:tmpl w:val="ACD4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C4A28"/>
    <w:multiLevelType w:val="hybridMultilevel"/>
    <w:tmpl w:val="BA9A23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76250"/>
    <w:multiLevelType w:val="hybridMultilevel"/>
    <w:tmpl w:val="CE2036BC"/>
    <w:lvl w:ilvl="0" w:tplc="16144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A0AFC"/>
    <w:multiLevelType w:val="hybridMultilevel"/>
    <w:tmpl w:val="0FC4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65099"/>
    <w:multiLevelType w:val="hybridMultilevel"/>
    <w:tmpl w:val="9E686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A4C0A"/>
    <w:multiLevelType w:val="hybridMultilevel"/>
    <w:tmpl w:val="DFC6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726D1"/>
    <w:multiLevelType w:val="hybridMultilevel"/>
    <w:tmpl w:val="CBAE72F0"/>
    <w:lvl w:ilvl="0" w:tplc="6054F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A5AF2"/>
    <w:multiLevelType w:val="hybridMultilevel"/>
    <w:tmpl w:val="3FA2B1E6"/>
    <w:lvl w:ilvl="0" w:tplc="0DD646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1761A"/>
    <w:multiLevelType w:val="hybridMultilevel"/>
    <w:tmpl w:val="4326925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404277E9"/>
    <w:multiLevelType w:val="hybridMultilevel"/>
    <w:tmpl w:val="E2BE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22187"/>
    <w:multiLevelType w:val="hybridMultilevel"/>
    <w:tmpl w:val="8A1E126A"/>
    <w:lvl w:ilvl="0" w:tplc="340636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D5794"/>
    <w:multiLevelType w:val="hybridMultilevel"/>
    <w:tmpl w:val="AC4EA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40BFE"/>
    <w:multiLevelType w:val="hybridMultilevel"/>
    <w:tmpl w:val="6CA0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7359A"/>
    <w:multiLevelType w:val="hybridMultilevel"/>
    <w:tmpl w:val="4AC8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6168"/>
    <w:multiLevelType w:val="hybridMultilevel"/>
    <w:tmpl w:val="3454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61AEC"/>
    <w:multiLevelType w:val="hybridMultilevel"/>
    <w:tmpl w:val="4D147982"/>
    <w:lvl w:ilvl="0" w:tplc="F432AE0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E3DC7"/>
    <w:multiLevelType w:val="hybridMultilevel"/>
    <w:tmpl w:val="74A4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E75C8"/>
    <w:multiLevelType w:val="hybridMultilevel"/>
    <w:tmpl w:val="F6608756"/>
    <w:lvl w:ilvl="0" w:tplc="041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BA00BB6"/>
    <w:multiLevelType w:val="hybridMultilevel"/>
    <w:tmpl w:val="DDE4114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DCE1344"/>
    <w:multiLevelType w:val="hybridMultilevel"/>
    <w:tmpl w:val="ACF8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77633"/>
    <w:multiLevelType w:val="hybridMultilevel"/>
    <w:tmpl w:val="5CDC0022"/>
    <w:lvl w:ilvl="0" w:tplc="CAFEED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A66BC"/>
    <w:multiLevelType w:val="hybridMultilevel"/>
    <w:tmpl w:val="2B4A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D2BE6"/>
    <w:multiLevelType w:val="hybridMultilevel"/>
    <w:tmpl w:val="A300D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4F6B3F"/>
    <w:multiLevelType w:val="hybridMultilevel"/>
    <w:tmpl w:val="50E840E4"/>
    <w:lvl w:ilvl="0" w:tplc="541893F8">
      <w:numFmt w:val="bullet"/>
      <w:lvlText w:val="-"/>
      <w:lvlJc w:val="left"/>
      <w:pPr>
        <w:ind w:left="1068" w:hanging="360"/>
      </w:pPr>
      <w:rPr>
        <w:rFonts w:ascii="Calibri" w:eastAsiaTheme="minorHAns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8D40F5E"/>
    <w:multiLevelType w:val="hybridMultilevel"/>
    <w:tmpl w:val="D6DAF8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AF65FB"/>
    <w:multiLevelType w:val="hybridMultilevel"/>
    <w:tmpl w:val="44C0C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50F2F"/>
    <w:multiLevelType w:val="hybridMultilevel"/>
    <w:tmpl w:val="D53AD176"/>
    <w:lvl w:ilvl="0" w:tplc="E648FA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24161"/>
    <w:multiLevelType w:val="hybridMultilevel"/>
    <w:tmpl w:val="60482CD8"/>
    <w:lvl w:ilvl="0" w:tplc="BCD84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03EBA"/>
    <w:multiLevelType w:val="hybridMultilevel"/>
    <w:tmpl w:val="6BD2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678E0"/>
    <w:multiLevelType w:val="multilevel"/>
    <w:tmpl w:val="784678E0"/>
    <w:lvl w:ilvl="0">
      <w:start w:val="1"/>
      <w:numFmt w:val="decimal"/>
      <w:lvlText w:val="(%1)"/>
      <w:lvlJc w:val="left"/>
      <w:pPr>
        <w:ind w:left="659" w:hanging="375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0F5C53"/>
    <w:multiLevelType w:val="hybridMultilevel"/>
    <w:tmpl w:val="AD901EE8"/>
    <w:lvl w:ilvl="0" w:tplc="15908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07DC5"/>
    <w:multiLevelType w:val="hybridMultilevel"/>
    <w:tmpl w:val="70BA2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0"/>
  </w:num>
  <w:num w:numId="5">
    <w:abstractNumId w:val="9"/>
  </w:num>
  <w:num w:numId="6">
    <w:abstractNumId w:val="40"/>
  </w:num>
  <w:num w:numId="7">
    <w:abstractNumId w:val="28"/>
  </w:num>
  <w:num w:numId="8">
    <w:abstractNumId w:val="36"/>
  </w:num>
  <w:num w:numId="9">
    <w:abstractNumId w:val="8"/>
  </w:num>
  <w:num w:numId="10">
    <w:abstractNumId w:val="14"/>
  </w:num>
  <w:num w:numId="11">
    <w:abstractNumId w:val="18"/>
  </w:num>
  <w:num w:numId="12">
    <w:abstractNumId w:val="35"/>
  </w:num>
  <w:num w:numId="13">
    <w:abstractNumId w:val="7"/>
  </w:num>
  <w:num w:numId="14">
    <w:abstractNumId w:val="4"/>
  </w:num>
  <w:num w:numId="15">
    <w:abstractNumId w:val="15"/>
  </w:num>
  <w:num w:numId="16">
    <w:abstractNumId w:val="29"/>
  </w:num>
  <w:num w:numId="17">
    <w:abstractNumId w:val="19"/>
  </w:num>
  <w:num w:numId="18">
    <w:abstractNumId w:val="13"/>
  </w:num>
  <w:num w:numId="19">
    <w:abstractNumId w:val="37"/>
  </w:num>
  <w:num w:numId="20">
    <w:abstractNumId w:val="11"/>
  </w:num>
  <w:num w:numId="21">
    <w:abstractNumId w:val="22"/>
  </w:num>
  <w:num w:numId="22">
    <w:abstractNumId w:val="3"/>
  </w:num>
  <w:num w:numId="23">
    <w:abstractNumId w:val="33"/>
  </w:num>
  <w:num w:numId="24">
    <w:abstractNumId w:val="39"/>
  </w:num>
  <w:num w:numId="25">
    <w:abstractNumId w:val="6"/>
  </w:num>
  <w:num w:numId="26">
    <w:abstractNumId w:val="27"/>
  </w:num>
  <w:num w:numId="27">
    <w:abstractNumId w:val="24"/>
  </w:num>
  <w:num w:numId="28">
    <w:abstractNumId w:val="2"/>
  </w:num>
  <w:num w:numId="29">
    <w:abstractNumId w:val="12"/>
  </w:num>
  <w:num w:numId="30">
    <w:abstractNumId w:val="31"/>
  </w:num>
  <w:num w:numId="31">
    <w:abstractNumId w:val="30"/>
  </w:num>
  <w:num w:numId="32">
    <w:abstractNumId w:val="38"/>
  </w:num>
  <w:num w:numId="33">
    <w:abstractNumId w:val="34"/>
  </w:num>
  <w:num w:numId="34">
    <w:abstractNumId w:val="25"/>
  </w:num>
  <w:num w:numId="35">
    <w:abstractNumId w:val="20"/>
  </w:num>
  <w:num w:numId="36">
    <w:abstractNumId w:val="26"/>
  </w:num>
  <w:num w:numId="37">
    <w:abstractNumId w:val="32"/>
  </w:num>
  <w:num w:numId="38">
    <w:abstractNumId w:val="1"/>
  </w:num>
  <w:num w:numId="39">
    <w:abstractNumId w:val="10"/>
  </w:num>
  <w:num w:numId="40">
    <w:abstractNumId w:val="5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AA"/>
    <w:rsid w:val="00001045"/>
    <w:rsid w:val="00001CE3"/>
    <w:rsid w:val="0000550B"/>
    <w:rsid w:val="00005C06"/>
    <w:rsid w:val="000119A6"/>
    <w:rsid w:val="00012659"/>
    <w:rsid w:val="00012B0F"/>
    <w:rsid w:val="00015E6D"/>
    <w:rsid w:val="00020398"/>
    <w:rsid w:val="00021C85"/>
    <w:rsid w:val="00022685"/>
    <w:rsid w:val="00022D00"/>
    <w:rsid w:val="00023558"/>
    <w:rsid w:val="00023900"/>
    <w:rsid w:val="00027088"/>
    <w:rsid w:val="00032090"/>
    <w:rsid w:val="00032F47"/>
    <w:rsid w:val="00033EAD"/>
    <w:rsid w:val="00035F5F"/>
    <w:rsid w:val="00036557"/>
    <w:rsid w:val="00036834"/>
    <w:rsid w:val="00040246"/>
    <w:rsid w:val="00040828"/>
    <w:rsid w:val="00040AF4"/>
    <w:rsid w:val="00041FAA"/>
    <w:rsid w:val="000462FF"/>
    <w:rsid w:val="000509D3"/>
    <w:rsid w:val="00050C75"/>
    <w:rsid w:val="00053207"/>
    <w:rsid w:val="0006063B"/>
    <w:rsid w:val="00063903"/>
    <w:rsid w:val="00063EFC"/>
    <w:rsid w:val="000667BE"/>
    <w:rsid w:val="000753EF"/>
    <w:rsid w:val="000760D9"/>
    <w:rsid w:val="00076992"/>
    <w:rsid w:val="000769C4"/>
    <w:rsid w:val="00076C3F"/>
    <w:rsid w:val="00080DE0"/>
    <w:rsid w:val="000811E1"/>
    <w:rsid w:val="00082EBC"/>
    <w:rsid w:val="0008393C"/>
    <w:rsid w:val="00084F3E"/>
    <w:rsid w:val="00085CDA"/>
    <w:rsid w:val="00086C3C"/>
    <w:rsid w:val="000900B5"/>
    <w:rsid w:val="00095D78"/>
    <w:rsid w:val="000A0B46"/>
    <w:rsid w:val="000A2EDD"/>
    <w:rsid w:val="000A6E6B"/>
    <w:rsid w:val="000B31A0"/>
    <w:rsid w:val="000B5A18"/>
    <w:rsid w:val="000B74E5"/>
    <w:rsid w:val="000D178D"/>
    <w:rsid w:val="000D327B"/>
    <w:rsid w:val="000D4641"/>
    <w:rsid w:val="000E05C5"/>
    <w:rsid w:val="000E0BF2"/>
    <w:rsid w:val="000E12F5"/>
    <w:rsid w:val="000E2561"/>
    <w:rsid w:val="000E2EE6"/>
    <w:rsid w:val="000E3DBC"/>
    <w:rsid w:val="000F1065"/>
    <w:rsid w:val="000F3759"/>
    <w:rsid w:val="00100779"/>
    <w:rsid w:val="00100BCE"/>
    <w:rsid w:val="00105888"/>
    <w:rsid w:val="00106AF9"/>
    <w:rsid w:val="00110E58"/>
    <w:rsid w:val="001110E7"/>
    <w:rsid w:val="00114556"/>
    <w:rsid w:val="00116BEE"/>
    <w:rsid w:val="00122EB4"/>
    <w:rsid w:val="00124BD7"/>
    <w:rsid w:val="00124CF0"/>
    <w:rsid w:val="0012671E"/>
    <w:rsid w:val="00130310"/>
    <w:rsid w:val="001312BB"/>
    <w:rsid w:val="001332AB"/>
    <w:rsid w:val="00134052"/>
    <w:rsid w:val="00136003"/>
    <w:rsid w:val="001375F5"/>
    <w:rsid w:val="00140E94"/>
    <w:rsid w:val="00143108"/>
    <w:rsid w:val="001467A9"/>
    <w:rsid w:val="00147795"/>
    <w:rsid w:val="00153757"/>
    <w:rsid w:val="001538F3"/>
    <w:rsid w:val="00156F63"/>
    <w:rsid w:val="00157A71"/>
    <w:rsid w:val="00165F06"/>
    <w:rsid w:val="001708D2"/>
    <w:rsid w:val="00172B12"/>
    <w:rsid w:val="00175C92"/>
    <w:rsid w:val="00176E61"/>
    <w:rsid w:val="0017791F"/>
    <w:rsid w:val="00181EAF"/>
    <w:rsid w:val="00184311"/>
    <w:rsid w:val="001856D3"/>
    <w:rsid w:val="00185D02"/>
    <w:rsid w:val="00193BA9"/>
    <w:rsid w:val="0019685F"/>
    <w:rsid w:val="00197FCC"/>
    <w:rsid w:val="001A0519"/>
    <w:rsid w:val="001A0AE5"/>
    <w:rsid w:val="001A6648"/>
    <w:rsid w:val="001B0A5D"/>
    <w:rsid w:val="001B1849"/>
    <w:rsid w:val="001B5845"/>
    <w:rsid w:val="001B6BD1"/>
    <w:rsid w:val="001B7C33"/>
    <w:rsid w:val="001C4717"/>
    <w:rsid w:val="001C49F9"/>
    <w:rsid w:val="001C5FF5"/>
    <w:rsid w:val="001C7CE2"/>
    <w:rsid w:val="001D17BD"/>
    <w:rsid w:val="001D444F"/>
    <w:rsid w:val="001D6795"/>
    <w:rsid w:val="001D6BB7"/>
    <w:rsid w:val="001D7CE5"/>
    <w:rsid w:val="001D7D0F"/>
    <w:rsid w:val="001E0003"/>
    <w:rsid w:val="001E089C"/>
    <w:rsid w:val="001E18B9"/>
    <w:rsid w:val="001E207F"/>
    <w:rsid w:val="001E3C9E"/>
    <w:rsid w:val="001E76DB"/>
    <w:rsid w:val="001F043A"/>
    <w:rsid w:val="001F18EA"/>
    <w:rsid w:val="001F481D"/>
    <w:rsid w:val="001F5792"/>
    <w:rsid w:val="001F5A33"/>
    <w:rsid w:val="00201FB1"/>
    <w:rsid w:val="0020409E"/>
    <w:rsid w:val="00204C82"/>
    <w:rsid w:val="00211FE7"/>
    <w:rsid w:val="00213E2D"/>
    <w:rsid w:val="00214D31"/>
    <w:rsid w:val="00214F5A"/>
    <w:rsid w:val="002173DC"/>
    <w:rsid w:val="00217736"/>
    <w:rsid w:val="0022332F"/>
    <w:rsid w:val="002235F1"/>
    <w:rsid w:val="00226FF5"/>
    <w:rsid w:val="0023666B"/>
    <w:rsid w:val="0024184B"/>
    <w:rsid w:val="0024331C"/>
    <w:rsid w:val="002446D9"/>
    <w:rsid w:val="00247BD3"/>
    <w:rsid w:val="00250D1C"/>
    <w:rsid w:val="00251914"/>
    <w:rsid w:val="00252E80"/>
    <w:rsid w:val="0025734C"/>
    <w:rsid w:val="002605E8"/>
    <w:rsid w:val="00261CEC"/>
    <w:rsid w:val="00272D93"/>
    <w:rsid w:val="00283B70"/>
    <w:rsid w:val="00283F88"/>
    <w:rsid w:val="00284864"/>
    <w:rsid w:val="0028788A"/>
    <w:rsid w:val="00287C34"/>
    <w:rsid w:val="00293AE9"/>
    <w:rsid w:val="0029720E"/>
    <w:rsid w:val="002A088C"/>
    <w:rsid w:val="002A355F"/>
    <w:rsid w:val="002A62C0"/>
    <w:rsid w:val="002A77F2"/>
    <w:rsid w:val="002B1234"/>
    <w:rsid w:val="002B16BB"/>
    <w:rsid w:val="002B1E84"/>
    <w:rsid w:val="002B28CE"/>
    <w:rsid w:val="002B302C"/>
    <w:rsid w:val="002B7DEB"/>
    <w:rsid w:val="002C2B15"/>
    <w:rsid w:val="002C5DFD"/>
    <w:rsid w:val="002C7268"/>
    <w:rsid w:val="002D0DD1"/>
    <w:rsid w:val="002D501B"/>
    <w:rsid w:val="002D5B29"/>
    <w:rsid w:val="002D739F"/>
    <w:rsid w:val="002E11DF"/>
    <w:rsid w:val="002E4FE7"/>
    <w:rsid w:val="002E64A0"/>
    <w:rsid w:val="002E6965"/>
    <w:rsid w:val="002E7FA8"/>
    <w:rsid w:val="002F3671"/>
    <w:rsid w:val="002F3948"/>
    <w:rsid w:val="002F4F63"/>
    <w:rsid w:val="002F640D"/>
    <w:rsid w:val="00304704"/>
    <w:rsid w:val="00306CC4"/>
    <w:rsid w:val="00306D97"/>
    <w:rsid w:val="00311A60"/>
    <w:rsid w:val="003126E6"/>
    <w:rsid w:val="00312FAF"/>
    <w:rsid w:val="003158B6"/>
    <w:rsid w:val="00315DF9"/>
    <w:rsid w:val="0031663E"/>
    <w:rsid w:val="00321E04"/>
    <w:rsid w:val="00323904"/>
    <w:rsid w:val="003254DB"/>
    <w:rsid w:val="0033018E"/>
    <w:rsid w:val="00333542"/>
    <w:rsid w:val="00333BEE"/>
    <w:rsid w:val="00334722"/>
    <w:rsid w:val="00340666"/>
    <w:rsid w:val="0034172F"/>
    <w:rsid w:val="003419D9"/>
    <w:rsid w:val="00343D01"/>
    <w:rsid w:val="00347005"/>
    <w:rsid w:val="00352490"/>
    <w:rsid w:val="003539ED"/>
    <w:rsid w:val="003545CF"/>
    <w:rsid w:val="00355C13"/>
    <w:rsid w:val="00360E85"/>
    <w:rsid w:val="00361E08"/>
    <w:rsid w:val="00362D96"/>
    <w:rsid w:val="003636FC"/>
    <w:rsid w:val="00364E34"/>
    <w:rsid w:val="00382D54"/>
    <w:rsid w:val="0038542A"/>
    <w:rsid w:val="00392245"/>
    <w:rsid w:val="003A17FC"/>
    <w:rsid w:val="003A6904"/>
    <w:rsid w:val="003A78A1"/>
    <w:rsid w:val="003B27C8"/>
    <w:rsid w:val="003B2A43"/>
    <w:rsid w:val="003B2D03"/>
    <w:rsid w:val="003B3A73"/>
    <w:rsid w:val="003C2890"/>
    <w:rsid w:val="003C2B43"/>
    <w:rsid w:val="003C36FA"/>
    <w:rsid w:val="003C52F0"/>
    <w:rsid w:val="003E03B9"/>
    <w:rsid w:val="003E14A4"/>
    <w:rsid w:val="003E195B"/>
    <w:rsid w:val="003E3A9D"/>
    <w:rsid w:val="003E60D6"/>
    <w:rsid w:val="003E6900"/>
    <w:rsid w:val="003E77CA"/>
    <w:rsid w:val="003F50A8"/>
    <w:rsid w:val="003F5F0D"/>
    <w:rsid w:val="0040039F"/>
    <w:rsid w:val="00400BA6"/>
    <w:rsid w:val="00402175"/>
    <w:rsid w:val="00403733"/>
    <w:rsid w:val="00406959"/>
    <w:rsid w:val="00411194"/>
    <w:rsid w:val="004147E1"/>
    <w:rsid w:val="00414D0B"/>
    <w:rsid w:val="0042201C"/>
    <w:rsid w:val="00424836"/>
    <w:rsid w:val="00425378"/>
    <w:rsid w:val="00426683"/>
    <w:rsid w:val="0044280E"/>
    <w:rsid w:val="00442D46"/>
    <w:rsid w:val="004458B9"/>
    <w:rsid w:val="00451F7D"/>
    <w:rsid w:val="004524C6"/>
    <w:rsid w:val="004554B6"/>
    <w:rsid w:val="00456C47"/>
    <w:rsid w:val="00463FC4"/>
    <w:rsid w:val="00463FEB"/>
    <w:rsid w:val="004729C7"/>
    <w:rsid w:val="00474F46"/>
    <w:rsid w:val="00475065"/>
    <w:rsid w:val="00475165"/>
    <w:rsid w:val="004804DC"/>
    <w:rsid w:val="00482501"/>
    <w:rsid w:val="00484AFA"/>
    <w:rsid w:val="0048501A"/>
    <w:rsid w:val="004859F8"/>
    <w:rsid w:val="00490806"/>
    <w:rsid w:val="00490F5C"/>
    <w:rsid w:val="0049380B"/>
    <w:rsid w:val="004A4A73"/>
    <w:rsid w:val="004A4EC8"/>
    <w:rsid w:val="004A5A20"/>
    <w:rsid w:val="004B38E2"/>
    <w:rsid w:val="004B4F34"/>
    <w:rsid w:val="004B518E"/>
    <w:rsid w:val="004B6A1A"/>
    <w:rsid w:val="004C48DB"/>
    <w:rsid w:val="004C7381"/>
    <w:rsid w:val="004D0DDB"/>
    <w:rsid w:val="004D2A35"/>
    <w:rsid w:val="004D3208"/>
    <w:rsid w:val="004D4B2A"/>
    <w:rsid w:val="004E0898"/>
    <w:rsid w:val="004E1E5C"/>
    <w:rsid w:val="004E78B7"/>
    <w:rsid w:val="004F0F67"/>
    <w:rsid w:val="004F1908"/>
    <w:rsid w:val="004F31F9"/>
    <w:rsid w:val="00501F15"/>
    <w:rsid w:val="005023A3"/>
    <w:rsid w:val="00505160"/>
    <w:rsid w:val="0050657C"/>
    <w:rsid w:val="00512BD4"/>
    <w:rsid w:val="0052132B"/>
    <w:rsid w:val="00523895"/>
    <w:rsid w:val="00525C04"/>
    <w:rsid w:val="00526DE7"/>
    <w:rsid w:val="005364E6"/>
    <w:rsid w:val="005368AF"/>
    <w:rsid w:val="0053698B"/>
    <w:rsid w:val="005435C6"/>
    <w:rsid w:val="00554D5C"/>
    <w:rsid w:val="005614C7"/>
    <w:rsid w:val="00562C21"/>
    <w:rsid w:val="00562C86"/>
    <w:rsid w:val="0056650A"/>
    <w:rsid w:val="0057067B"/>
    <w:rsid w:val="0057258B"/>
    <w:rsid w:val="00575869"/>
    <w:rsid w:val="005761A4"/>
    <w:rsid w:val="005817A8"/>
    <w:rsid w:val="0058278B"/>
    <w:rsid w:val="00584DFC"/>
    <w:rsid w:val="00585B25"/>
    <w:rsid w:val="00586582"/>
    <w:rsid w:val="00592AB3"/>
    <w:rsid w:val="00593E73"/>
    <w:rsid w:val="00595175"/>
    <w:rsid w:val="00595847"/>
    <w:rsid w:val="0059610B"/>
    <w:rsid w:val="005A395D"/>
    <w:rsid w:val="005A7E27"/>
    <w:rsid w:val="005B77D5"/>
    <w:rsid w:val="005C5134"/>
    <w:rsid w:val="005C5308"/>
    <w:rsid w:val="005C574F"/>
    <w:rsid w:val="005C5827"/>
    <w:rsid w:val="005C5D22"/>
    <w:rsid w:val="005C6B11"/>
    <w:rsid w:val="005D04D8"/>
    <w:rsid w:val="005D56C1"/>
    <w:rsid w:val="005D67EC"/>
    <w:rsid w:val="005D740F"/>
    <w:rsid w:val="005E0C4E"/>
    <w:rsid w:val="005E170E"/>
    <w:rsid w:val="005E1AA1"/>
    <w:rsid w:val="005E5140"/>
    <w:rsid w:val="005E7224"/>
    <w:rsid w:val="005F0A65"/>
    <w:rsid w:val="005F2BFF"/>
    <w:rsid w:val="005F2E6E"/>
    <w:rsid w:val="00602234"/>
    <w:rsid w:val="006039ED"/>
    <w:rsid w:val="00604509"/>
    <w:rsid w:val="006054AD"/>
    <w:rsid w:val="00625114"/>
    <w:rsid w:val="00633875"/>
    <w:rsid w:val="00636A9E"/>
    <w:rsid w:val="006408EB"/>
    <w:rsid w:val="006426B4"/>
    <w:rsid w:val="00643C00"/>
    <w:rsid w:val="0064740A"/>
    <w:rsid w:val="0065006D"/>
    <w:rsid w:val="006519B8"/>
    <w:rsid w:val="00651DD2"/>
    <w:rsid w:val="0065305B"/>
    <w:rsid w:val="00653677"/>
    <w:rsid w:val="00653A13"/>
    <w:rsid w:val="00656E9B"/>
    <w:rsid w:val="00661124"/>
    <w:rsid w:val="0066122B"/>
    <w:rsid w:val="00663398"/>
    <w:rsid w:val="00664227"/>
    <w:rsid w:val="00664BE0"/>
    <w:rsid w:val="00665E83"/>
    <w:rsid w:val="00667EAA"/>
    <w:rsid w:val="006741AE"/>
    <w:rsid w:val="0068243F"/>
    <w:rsid w:val="00687F03"/>
    <w:rsid w:val="006915FF"/>
    <w:rsid w:val="006A0283"/>
    <w:rsid w:val="006A37A8"/>
    <w:rsid w:val="006A544F"/>
    <w:rsid w:val="006B604E"/>
    <w:rsid w:val="006B7FC5"/>
    <w:rsid w:val="006C25FA"/>
    <w:rsid w:val="006C6AB5"/>
    <w:rsid w:val="006C6E18"/>
    <w:rsid w:val="006C77F7"/>
    <w:rsid w:val="006D0E3F"/>
    <w:rsid w:val="006D4226"/>
    <w:rsid w:val="006D5597"/>
    <w:rsid w:val="006F2110"/>
    <w:rsid w:val="006F4DD3"/>
    <w:rsid w:val="007013EA"/>
    <w:rsid w:val="00701E94"/>
    <w:rsid w:val="00705F44"/>
    <w:rsid w:val="0072110D"/>
    <w:rsid w:val="00723753"/>
    <w:rsid w:val="00735AEB"/>
    <w:rsid w:val="00736584"/>
    <w:rsid w:val="007418B7"/>
    <w:rsid w:val="00743413"/>
    <w:rsid w:val="00746272"/>
    <w:rsid w:val="007524D3"/>
    <w:rsid w:val="00753A1D"/>
    <w:rsid w:val="0075420E"/>
    <w:rsid w:val="007544F5"/>
    <w:rsid w:val="00757F8D"/>
    <w:rsid w:val="0076165D"/>
    <w:rsid w:val="00761823"/>
    <w:rsid w:val="00766FFC"/>
    <w:rsid w:val="007724C5"/>
    <w:rsid w:val="0077499D"/>
    <w:rsid w:val="00775878"/>
    <w:rsid w:val="00780E43"/>
    <w:rsid w:val="00782D6D"/>
    <w:rsid w:val="007835DF"/>
    <w:rsid w:val="00784305"/>
    <w:rsid w:val="00784C51"/>
    <w:rsid w:val="007850C3"/>
    <w:rsid w:val="007906E7"/>
    <w:rsid w:val="00791714"/>
    <w:rsid w:val="00797A5E"/>
    <w:rsid w:val="007A1B18"/>
    <w:rsid w:val="007A2A79"/>
    <w:rsid w:val="007A2CD5"/>
    <w:rsid w:val="007A3303"/>
    <w:rsid w:val="007A3B1F"/>
    <w:rsid w:val="007A5085"/>
    <w:rsid w:val="007A5A40"/>
    <w:rsid w:val="007A637A"/>
    <w:rsid w:val="007A7895"/>
    <w:rsid w:val="007B4BF5"/>
    <w:rsid w:val="007B7ED2"/>
    <w:rsid w:val="007C15DA"/>
    <w:rsid w:val="007C326E"/>
    <w:rsid w:val="007C5E9A"/>
    <w:rsid w:val="007C79C4"/>
    <w:rsid w:val="007D02AC"/>
    <w:rsid w:val="007D1779"/>
    <w:rsid w:val="007D2084"/>
    <w:rsid w:val="007D5DA1"/>
    <w:rsid w:val="007E0C10"/>
    <w:rsid w:val="007E4BA7"/>
    <w:rsid w:val="007E51AE"/>
    <w:rsid w:val="007E5EE1"/>
    <w:rsid w:val="007E79D3"/>
    <w:rsid w:val="007E7FA4"/>
    <w:rsid w:val="007F0C4D"/>
    <w:rsid w:val="007F0D5F"/>
    <w:rsid w:val="007F7548"/>
    <w:rsid w:val="007F7EDE"/>
    <w:rsid w:val="00814446"/>
    <w:rsid w:val="0081553C"/>
    <w:rsid w:val="00817C49"/>
    <w:rsid w:val="00821899"/>
    <w:rsid w:val="00823001"/>
    <w:rsid w:val="0082341D"/>
    <w:rsid w:val="00824A5A"/>
    <w:rsid w:val="008322C9"/>
    <w:rsid w:val="008347B2"/>
    <w:rsid w:val="00834AC6"/>
    <w:rsid w:val="00834FF9"/>
    <w:rsid w:val="0084413A"/>
    <w:rsid w:val="00844354"/>
    <w:rsid w:val="00850222"/>
    <w:rsid w:val="00850A73"/>
    <w:rsid w:val="00851F25"/>
    <w:rsid w:val="0085424A"/>
    <w:rsid w:val="00857397"/>
    <w:rsid w:val="00861D1B"/>
    <w:rsid w:val="00861FF3"/>
    <w:rsid w:val="008754A8"/>
    <w:rsid w:val="00880559"/>
    <w:rsid w:val="00883502"/>
    <w:rsid w:val="00884C4D"/>
    <w:rsid w:val="00886BEA"/>
    <w:rsid w:val="00892F00"/>
    <w:rsid w:val="008967DD"/>
    <w:rsid w:val="008A654F"/>
    <w:rsid w:val="008A7A08"/>
    <w:rsid w:val="008B1DDF"/>
    <w:rsid w:val="008B2823"/>
    <w:rsid w:val="008C2603"/>
    <w:rsid w:val="008C50FC"/>
    <w:rsid w:val="008D058B"/>
    <w:rsid w:val="008D458F"/>
    <w:rsid w:val="008D723F"/>
    <w:rsid w:val="008D7861"/>
    <w:rsid w:val="008E3E49"/>
    <w:rsid w:val="008E6F12"/>
    <w:rsid w:val="008F2062"/>
    <w:rsid w:val="008F3969"/>
    <w:rsid w:val="008F4F8E"/>
    <w:rsid w:val="00903B28"/>
    <w:rsid w:val="00905233"/>
    <w:rsid w:val="00906B68"/>
    <w:rsid w:val="00906C8B"/>
    <w:rsid w:val="00907B8C"/>
    <w:rsid w:val="00914642"/>
    <w:rsid w:val="009203FC"/>
    <w:rsid w:val="00920756"/>
    <w:rsid w:val="00924737"/>
    <w:rsid w:val="00925316"/>
    <w:rsid w:val="00925AFC"/>
    <w:rsid w:val="00927214"/>
    <w:rsid w:val="00930274"/>
    <w:rsid w:val="00933BA8"/>
    <w:rsid w:val="00934CDF"/>
    <w:rsid w:val="00935571"/>
    <w:rsid w:val="009434A4"/>
    <w:rsid w:val="0094462E"/>
    <w:rsid w:val="00946F48"/>
    <w:rsid w:val="009535A4"/>
    <w:rsid w:val="00957564"/>
    <w:rsid w:val="00960095"/>
    <w:rsid w:val="00960616"/>
    <w:rsid w:val="00960D29"/>
    <w:rsid w:val="00961E41"/>
    <w:rsid w:val="00962A10"/>
    <w:rsid w:val="00963A9D"/>
    <w:rsid w:val="00966081"/>
    <w:rsid w:val="00973495"/>
    <w:rsid w:val="009772C8"/>
    <w:rsid w:val="00977B96"/>
    <w:rsid w:val="00982121"/>
    <w:rsid w:val="00983C9E"/>
    <w:rsid w:val="00983DC8"/>
    <w:rsid w:val="00983EFD"/>
    <w:rsid w:val="00987A7B"/>
    <w:rsid w:val="0099407B"/>
    <w:rsid w:val="009A043C"/>
    <w:rsid w:val="009A0DD0"/>
    <w:rsid w:val="009B0448"/>
    <w:rsid w:val="009B0ADB"/>
    <w:rsid w:val="009B5787"/>
    <w:rsid w:val="009B5BE2"/>
    <w:rsid w:val="009C318B"/>
    <w:rsid w:val="009C5502"/>
    <w:rsid w:val="009D1378"/>
    <w:rsid w:val="009D1D4A"/>
    <w:rsid w:val="009D7743"/>
    <w:rsid w:val="009F01B7"/>
    <w:rsid w:val="009F0D97"/>
    <w:rsid w:val="009F4BA4"/>
    <w:rsid w:val="009F6707"/>
    <w:rsid w:val="00A02F54"/>
    <w:rsid w:val="00A03B6A"/>
    <w:rsid w:val="00A07426"/>
    <w:rsid w:val="00A177AC"/>
    <w:rsid w:val="00A221DF"/>
    <w:rsid w:val="00A22FC2"/>
    <w:rsid w:val="00A2458A"/>
    <w:rsid w:val="00A30F34"/>
    <w:rsid w:val="00A32BC3"/>
    <w:rsid w:val="00A37111"/>
    <w:rsid w:val="00A371EF"/>
    <w:rsid w:val="00A533FF"/>
    <w:rsid w:val="00A72B8E"/>
    <w:rsid w:val="00A7433F"/>
    <w:rsid w:val="00A765BC"/>
    <w:rsid w:val="00A817D7"/>
    <w:rsid w:val="00A83F17"/>
    <w:rsid w:val="00A846D3"/>
    <w:rsid w:val="00A848EA"/>
    <w:rsid w:val="00A86668"/>
    <w:rsid w:val="00A925B5"/>
    <w:rsid w:val="00A9390A"/>
    <w:rsid w:val="00A97747"/>
    <w:rsid w:val="00AA0183"/>
    <w:rsid w:val="00AA0FFC"/>
    <w:rsid w:val="00AA2D64"/>
    <w:rsid w:val="00AA69E2"/>
    <w:rsid w:val="00AB139C"/>
    <w:rsid w:val="00AB3D0C"/>
    <w:rsid w:val="00AB4935"/>
    <w:rsid w:val="00AB5A45"/>
    <w:rsid w:val="00AC21D7"/>
    <w:rsid w:val="00AC2334"/>
    <w:rsid w:val="00AC335B"/>
    <w:rsid w:val="00AC6DF6"/>
    <w:rsid w:val="00AC7E1A"/>
    <w:rsid w:val="00AD2A59"/>
    <w:rsid w:val="00AD2D2B"/>
    <w:rsid w:val="00AD71CB"/>
    <w:rsid w:val="00AE0312"/>
    <w:rsid w:val="00AE13EF"/>
    <w:rsid w:val="00AE22BC"/>
    <w:rsid w:val="00AE2D1D"/>
    <w:rsid w:val="00AE2F78"/>
    <w:rsid w:val="00AE4467"/>
    <w:rsid w:val="00AE6F5D"/>
    <w:rsid w:val="00AE7347"/>
    <w:rsid w:val="00AF0461"/>
    <w:rsid w:val="00AF4110"/>
    <w:rsid w:val="00AF41B0"/>
    <w:rsid w:val="00AF48CA"/>
    <w:rsid w:val="00AF4AE7"/>
    <w:rsid w:val="00AF6A73"/>
    <w:rsid w:val="00AF77E3"/>
    <w:rsid w:val="00B0287C"/>
    <w:rsid w:val="00B02F69"/>
    <w:rsid w:val="00B07C30"/>
    <w:rsid w:val="00B1100C"/>
    <w:rsid w:val="00B111ED"/>
    <w:rsid w:val="00B11A00"/>
    <w:rsid w:val="00B12353"/>
    <w:rsid w:val="00B15320"/>
    <w:rsid w:val="00B1598F"/>
    <w:rsid w:val="00B16078"/>
    <w:rsid w:val="00B16EF7"/>
    <w:rsid w:val="00B1797D"/>
    <w:rsid w:val="00B23F1D"/>
    <w:rsid w:val="00B30922"/>
    <w:rsid w:val="00B30EE0"/>
    <w:rsid w:val="00B323EB"/>
    <w:rsid w:val="00B34AAB"/>
    <w:rsid w:val="00B356A1"/>
    <w:rsid w:val="00B44729"/>
    <w:rsid w:val="00B44974"/>
    <w:rsid w:val="00B4540D"/>
    <w:rsid w:val="00B45A82"/>
    <w:rsid w:val="00B4657E"/>
    <w:rsid w:val="00B47B79"/>
    <w:rsid w:val="00B519F1"/>
    <w:rsid w:val="00B537CF"/>
    <w:rsid w:val="00B57618"/>
    <w:rsid w:val="00B57686"/>
    <w:rsid w:val="00B603AE"/>
    <w:rsid w:val="00B62CBB"/>
    <w:rsid w:val="00B632B7"/>
    <w:rsid w:val="00B665C9"/>
    <w:rsid w:val="00B75F36"/>
    <w:rsid w:val="00B83373"/>
    <w:rsid w:val="00B840EA"/>
    <w:rsid w:val="00B90D7B"/>
    <w:rsid w:val="00B9470F"/>
    <w:rsid w:val="00B953C1"/>
    <w:rsid w:val="00B96600"/>
    <w:rsid w:val="00B96D41"/>
    <w:rsid w:val="00BC3E1B"/>
    <w:rsid w:val="00BC48C0"/>
    <w:rsid w:val="00BC5E8B"/>
    <w:rsid w:val="00BD4BF3"/>
    <w:rsid w:val="00BD4EAD"/>
    <w:rsid w:val="00BD5895"/>
    <w:rsid w:val="00BE15E2"/>
    <w:rsid w:val="00BE3901"/>
    <w:rsid w:val="00BF7540"/>
    <w:rsid w:val="00C00ACD"/>
    <w:rsid w:val="00C02239"/>
    <w:rsid w:val="00C0571C"/>
    <w:rsid w:val="00C05A15"/>
    <w:rsid w:val="00C0642E"/>
    <w:rsid w:val="00C06DB2"/>
    <w:rsid w:val="00C0767B"/>
    <w:rsid w:val="00C12B24"/>
    <w:rsid w:val="00C144C2"/>
    <w:rsid w:val="00C14E6F"/>
    <w:rsid w:val="00C164DE"/>
    <w:rsid w:val="00C23B15"/>
    <w:rsid w:val="00C27383"/>
    <w:rsid w:val="00C27A0C"/>
    <w:rsid w:val="00C345C9"/>
    <w:rsid w:val="00C35699"/>
    <w:rsid w:val="00C36855"/>
    <w:rsid w:val="00C40660"/>
    <w:rsid w:val="00C418A8"/>
    <w:rsid w:val="00C4642E"/>
    <w:rsid w:val="00C57A5E"/>
    <w:rsid w:val="00C60960"/>
    <w:rsid w:val="00C645D2"/>
    <w:rsid w:val="00C64B53"/>
    <w:rsid w:val="00C70996"/>
    <w:rsid w:val="00C7245B"/>
    <w:rsid w:val="00C73BA5"/>
    <w:rsid w:val="00C80959"/>
    <w:rsid w:val="00C82134"/>
    <w:rsid w:val="00C82F22"/>
    <w:rsid w:val="00C83261"/>
    <w:rsid w:val="00C85C38"/>
    <w:rsid w:val="00C867E2"/>
    <w:rsid w:val="00C92715"/>
    <w:rsid w:val="00C953E8"/>
    <w:rsid w:val="00CA66B0"/>
    <w:rsid w:val="00CA6E83"/>
    <w:rsid w:val="00CA776D"/>
    <w:rsid w:val="00CB2DB4"/>
    <w:rsid w:val="00CB5154"/>
    <w:rsid w:val="00CB6D22"/>
    <w:rsid w:val="00CB7473"/>
    <w:rsid w:val="00CC0484"/>
    <w:rsid w:val="00CC1108"/>
    <w:rsid w:val="00CC2054"/>
    <w:rsid w:val="00CC4C7D"/>
    <w:rsid w:val="00CC78B7"/>
    <w:rsid w:val="00CD578D"/>
    <w:rsid w:val="00CD6108"/>
    <w:rsid w:val="00CD79A7"/>
    <w:rsid w:val="00CE16D4"/>
    <w:rsid w:val="00CE23B2"/>
    <w:rsid w:val="00CE3B29"/>
    <w:rsid w:val="00CE5BEC"/>
    <w:rsid w:val="00CF11BD"/>
    <w:rsid w:val="00CF49CC"/>
    <w:rsid w:val="00CF7732"/>
    <w:rsid w:val="00D00C2E"/>
    <w:rsid w:val="00D034F6"/>
    <w:rsid w:val="00D0600B"/>
    <w:rsid w:val="00D073C6"/>
    <w:rsid w:val="00D07DB6"/>
    <w:rsid w:val="00D10850"/>
    <w:rsid w:val="00D109C8"/>
    <w:rsid w:val="00D10F8E"/>
    <w:rsid w:val="00D11AB2"/>
    <w:rsid w:val="00D12836"/>
    <w:rsid w:val="00D12915"/>
    <w:rsid w:val="00D15B49"/>
    <w:rsid w:val="00D2058D"/>
    <w:rsid w:val="00D20BC6"/>
    <w:rsid w:val="00D210DB"/>
    <w:rsid w:val="00D223E4"/>
    <w:rsid w:val="00D35F88"/>
    <w:rsid w:val="00D40D35"/>
    <w:rsid w:val="00D40F84"/>
    <w:rsid w:val="00D438D6"/>
    <w:rsid w:val="00D50D9E"/>
    <w:rsid w:val="00D51B69"/>
    <w:rsid w:val="00D534F1"/>
    <w:rsid w:val="00D57F41"/>
    <w:rsid w:val="00D63FF9"/>
    <w:rsid w:val="00D642D2"/>
    <w:rsid w:val="00D70AE1"/>
    <w:rsid w:val="00D75FF9"/>
    <w:rsid w:val="00D818A8"/>
    <w:rsid w:val="00D83E8D"/>
    <w:rsid w:val="00D91515"/>
    <w:rsid w:val="00D9484A"/>
    <w:rsid w:val="00DA569A"/>
    <w:rsid w:val="00DA65BA"/>
    <w:rsid w:val="00DA777C"/>
    <w:rsid w:val="00DB5310"/>
    <w:rsid w:val="00DB6161"/>
    <w:rsid w:val="00DC1360"/>
    <w:rsid w:val="00DC7FD0"/>
    <w:rsid w:val="00DD6333"/>
    <w:rsid w:val="00DE32F5"/>
    <w:rsid w:val="00DE5F6B"/>
    <w:rsid w:val="00DE769A"/>
    <w:rsid w:val="00DE7F55"/>
    <w:rsid w:val="00DF616D"/>
    <w:rsid w:val="00DF794D"/>
    <w:rsid w:val="00E053D6"/>
    <w:rsid w:val="00E055C1"/>
    <w:rsid w:val="00E07F58"/>
    <w:rsid w:val="00E13590"/>
    <w:rsid w:val="00E145A2"/>
    <w:rsid w:val="00E14B3B"/>
    <w:rsid w:val="00E15671"/>
    <w:rsid w:val="00E20381"/>
    <w:rsid w:val="00E2080E"/>
    <w:rsid w:val="00E2759C"/>
    <w:rsid w:val="00E27788"/>
    <w:rsid w:val="00E312FC"/>
    <w:rsid w:val="00E31555"/>
    <w:rsid w:val="00E34C9F"/>
    <w:rsid w:val="00E41260"/>
    <w:rsid w:val="00E4127A"/>
    <w:rsid w:val="00E42925"/>
    <w:rsid w:val="00E43A49"/>
    <w:rsid w:val="00E47B82"/>
    <w:rsid w:val="00E502EA"/>
    <w:rsid w:val="00E50607"/>
    <w:rsid w:val="00E50AFF"/>
    <w:rsid w:val="00E5576A"/>
    <w:rsid w:val="00E55819"/>
    <w:rsid w:val="00E56C25"/>
    <w:rsid w:val="00E6445C"/>
    <w:rsid w:val="00E701F0"/>
    <w:rsid w:val="00E7050C"/>
    <w:rsid w:val="00E7093A"/>
    <w:rsid w:val="00E719AA"/>
    <w:rsid w:val="00E77A58"/>
    <w:rsid w:val="00E80368"/>
    <w:rsid w:val="00E86699"/>
    <w:rsid w:val="00E9185F"/>
    <w:rsid w:val="00E9320F"/>
    <w:rsid w:val="00E93BB2"/>
    <w:rsid w:val="00E95916"/>
    <w:rsid w:val="00E97224"/>
    <w:rsid w:val="00EA0E96"/>
    <w:rsid w:val="00EA5681"/>
    <w:rsid w:val="00EB0F1A"/>
    <w:rsid w:val="00EB389B"/>
    <w:rsid w:val="00EB7FCF"/>
    <w:rsid w:val="00EC3CD1"/>
    <w:rsid w:val="00EC4CF7"/>
    <w:rsid w:val="00EC63CD"/>
    <w:rsid w:val="00EC677C"/>
    <w:rsid w:val="00EE14E6"/>
    <w:rsid w:val="00EE19D1"/>
    <w:rsid w:val="00EE26EE"/>
    <w:rsid w:val="00EE4C35"/>
    <w:rsid w:val="00EF06E9"/>
    <w:rsid w:val="00F007E8"/>
    <w:rsid w:val="00F02030"/>
    <w:rsid w:val="00F03286"/>
    <w:rsid w:val="00F0732E"/>
    <w:rsid w:val="00F1169F"/>
    <w:rsid w:val="00F145D6"/>
    <w:rsid w:val="00F14C29"/>
    <w:rsid w:val="00F20848"/>
    <w:rsid w:val="00F20F3E"/>
    <w:rsid w:val="00F24FE5"/>
    <w:rsid w:val="00F26351"/>
    <w:rsid w:val="00F275C7"/>
    <w:rsid w:val="00F311E0"/>
    <w:rsid w:val="00F31F73"/>
    <w:rsid w:val="00F324A4"/>
    <w:rsid w:val="00F3565B"/>
    <w:rsid w:val="00F45A3F"/>
    <w:rsid w:val="00F45D6E"/>
    <w:rsid w:val="00F465FF"/>
    <w:rsid w:val="00F51AE9"/>
    <w:rsid w:val="00F51EAB"/>
    <w:rsid w:val="00F54BBD"/>
    <w:rsid w:val="00F55A64"/>
    <w:rsid w:val="00F56356"/>
    <w:rsid w:val="00F57380"/>
    <w:rsid w:val="00F61E45"/>
    <w:rsid w:val="00F6311D"/>
    <w:rsid w:val="00F633CC"/>
    <w:rsid w:val="00F640F5"/>
    <w:rsid w:val="00F64A10"/>
    <w:rsid w:val="00F66E2B"/>
    <w:rsid w:val="00F717B0"/>
    <w:rsid w:val="00F7647F"/>
    <w:rsid w:val="00F81038"/>
    <w:rsid w:val="00F8304D"/>
    <w:rsid w:val="00F9119A"/>
    <w:rsid w:val="00F91B2A"/>
    <w:rsid w:val="00F95A80"/>
    <w:rsid w:val="00F964FB"/>
    <w:rsid w:val="00FA1546"/>
    <w:rsid w:val="00FA2BCF"/>
    <w:rsid w:val="00FA68F5"/>
    <w:rsid w:val="00FB144D"/>
    <w:rsid w:val="00FB210D"/>
    <w:rsid w:val="00FB6702"/>
    <w:rsid w:val="00FB797D"/>
    <w:rsid w:val="00FC00CE"/>
    <w:rsid w:val="00FD559F"/>
    <w:rsid w:val="00FE0BC3"/>
    <w:rsid w:val="00FE3D28"/>
    <w:rsid w:val="00FE71E5"/>
    <w:rsid w:val="00FF1113"/>
    <w:rsid w:val="00FF21AA"/>
    <w:rsid w:val="00FF61B0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16275D-7DA3-4476-A6F8-48D30659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F7E47"/>
    <w:rPr>
      <w:lang w:val="ro-RO"/>
    </w:rPr>
  </w:style>
  <w:style w:type="paragraph" w:styleId="1">
    <w:name w:val="heading 1"/>
    <w:basedOn w:val="a"/>
    <w:next w:val="a"/>
    <w:link w:val="10"/>
    <w:uiPriority w:val="9"/>
    <w:qFormat/>
    <w:rsid w:val="007835D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835D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5D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5D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5D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5D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5D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5D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5D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40F5"/>
  </w:style>
  <w:style w:type="paragraph" w:styleId="a5">
    <w:name w:val="footer"/>
    <w:basedOn w:val="a"/>
    <w:link w:val="a6"/>
    <w:uiPriority w:val="99"/>
    <w:unhideWhenUsed/>
    <w:rsid w:val="00F64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40F5"/>
  </w:style>
  <w:style w:type="paragraph" w:styleId="a7">
    <w:name w:val="footnote text"/>
    <w:basedOn w:val="a"/>
    <w:link w:val="a8"/>
    <w:uiPriority w:val="99"/>
    <w:unhideWhenUsed/>
    <w:rsid w:val="00834AC6"/>
    <w:pPr>
      <w:spacing w:after="0" w:line="240" w:lineRule="auto"/>
    </w:pPr>
  </w:style>
  <w:style w:type="character" w:customStyle="1" w:styleId="a8">
    <w:name w:val="Текст сноски Знак"/>
    <w:basedOn w:val="a0"/>
    <w:link w:val="a7"/>
    <w:uiPriority w:val="99"/>
    <w:rsid w:val="00834AC6"/>
    <w:rPr>
      <w:sz w:val="20"/>
      <w:szCs w:val="20"/>
    </w:rPr>
  </w:style>
  <w:style w:type="character" w:styleId="a9">
    <w:name w:val="footnote reference"/>
    <w:aliases w:val="-E Fußnotenzeichen,EN Footnote Reference,ftref,BVI fnr,16 Point,Superscript 6 Point,Texto nota al pie,referencia nota al pie,Footnote Reference Number,Footnote Reference_LVL6,Footnote Reference_LVL61,Footnote Reference_LVL62,fr"/>
    <w:basedOn w:val="a0"/>
    <w:uiPriority w:val="99"/>
    <w:unhideWhenUsed/>
    <w:qFormat/>
    <w:rsid w:val="00834AC6"/>
    <w:rPr>
      <w:vertAlign w:val="superscript"/>
    </w:rPr>
  </w:style>
  <w:style w:type="paragraph" w:styleId="aa">
    <w:name w:val="List Paragraph"/>
    <w:aliases w:val="Bullet Points,Liste Paragraf,Listenabsatz1,Llista Nivell1,Lista de nivel 1,Paragraphe de liste PBLH,Normal bullet 2,Graph &amp; Table tite,Table of contents numbered,Bullet list,Bullets,Heading,Dot pt,F5 List Paragraph,No Spacing1,ANNEX"/>
    <w:basedOn w:val="a"/>
    <w:link w:val="ab"/>
    <w:uiPriority w:val="34"/>
    <w:qFormat/>
    <w:rsid w:val="006039ED"/>
    <w:pPr>
      <w:ind w:left="720"/>
      <w:contextualSpacing/>
    </w:pPr>
  </w:style>
  <w:style w:type="table" w:styleId="ac">
    <w:name w:val="Table Grid"/>
    <w:basedOn w:val="a1"/>
    <w:uiPriority w:val="59"/>
    <w:rsid w:val="001D7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Таблица-сетка 1 светлая1"/>
    <w:basedOn w:val="a1"/>
    <w:uiPriority w:val="46"/>
    <w:rsid w:val="00DA777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unhideWhenUsed/>
    <w:rsid w:val="001E207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E207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835D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rsid w:val="007835DF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7835DF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7835DF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835DF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835DF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835DF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835DF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835DF"/>
    <w:rPr>
      <w:i/>
      <w:iCs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7835DF"/>
    <w:rPr>
      <w:b/>
      <w:bCs/>
      <w:color w:val="2F5496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7835D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7835D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7835D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f2">
    <w:name w:val="Подзаголовок Знак"/>
    <w:basedOn w:val="a0"/>
    <w:link w:val="af1"/>
    <w:uiPriority w:val="11"/>
    <w:rsid w:val="007835DF"/>
    <w:rPr>
      <w:caps/>
      <w:color w:val="595959" w:themeColor="text1" w:themeTint="A6"/>
      <w:spacing w:val="10"/>
      <w:sz w:val="21"/>
      <w:szCs w:val="21"/>
    </w:rPr>
  </w:style>
  <w:style w:type="character" w:styleId="af3">
    <w:name w:val="Strong"/>
    <w:uiPriority w:val="22"/>
    <w:qFormat/>
    <w:rsid w:val="007835DF"/>
    <w:rPr>
      <w:b/>
      <w:bCs/>
    </w:rPr>
  </w:style>
  <w:style w:type="character" w:styleId="af4">
    <w:name w:val="Emphasis"/>
    <w:uiPriority w:val="20"/>
    <w:qFormat/>
    <w:rsid w:val="007835DF"/>
    <w:rPr>
      <w:caps/>
      <w:color w:val="1F3763" w:themeColor="accent1" w:themeShade="7F"/>
      <w:spacing w:val="5"/>
    </w:rPr>
  </w:style>
  <w:style w:type="paragraph" w:styleId="af5">
    <w:name w:val="No Spacing"/>
    <w:uiPriority w:val="1"/>
    <w:qFormat/>
    <w:rsid w:val="007835D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835DF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835DF"/>
    <w:rPr>
      <w:i/>
      <w:iCs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7835D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7">
    <w:name w:val="Выделенная цитата Знак"/>
    <w:basedOn w:val="a0"/>
    <w:link w:val="af6"/>
    <w:uiPriority w:val="30"/>
    <w:rsid w:val="007835DF"/>
    <w:rPr>
      <w:color w:val="4472C4" w:themeColor="accent1"/>
      <w:sz w:val="24"/>
      <w:szCs w:val="24"/>
    </w:rPr>
  </w:style>
  <w:style w:type="character" w:styleId="af8">
    <w:name w:val="Subtle Emphasis"/>
    <w:uiPriority w:val="19"/>
    <w:qFormat/>
    <w:rsid w:val="007835DF"/>
    <w:rPr>
      <w:i/>
      <w:iCs/>
      <w:color w:val="1F3763" w:themeColor="accent1" w:themeShade="7F"/>
    </w:rPr>
  </w:style>
  <w:style w:type="character" w:styleId="af9">
    <w:name w:val="Intense Emphasis"/>
    <w:uiPriority w:val="21"/>
    <w:qFormat/>
    <w:rsid w:val="007835DF"/>
    <w:rPr>
      <w:b/>
      <w:bCs/>
      <w:caps/>
      <w:color w:val="1F3763" w:themeColor="accent1" w:themeShade="7F"/>
      <w:spacing w:val="10"/>
    </w:rPr>
  </w:style>
  <w:style w:type="character" w:styleId="afa">
    <w:name w:val="Subtle Reference"/>
    <w:uiPriority w:val="31"/>
    <w:qFormat/>
    <w:rsid w:val="007835DF"/>
    <w:rPr>
      <w:b/>
      <w:bCs/>
      <w:color w:val="4472C4" w:themeColor="accent1"/>
    </w:rPr>
  </w:style>
  <w:style w:type="character" w:styleId="afb">
    <w:name w:val="Intense Reference"/>
    <w:uiPriority w:val="32"/>
    <w:qFormat/>
    <w:rsid w:val="007835DF"/>
    <w:rPr>
      <w:b/>
      <w:bCs/>
      <w:i/>
      <w:iCs/>
      <w:caps/>
      <w:color w:val="4472C4" w:themeColor="accent1"/>
    </w:rPr>
  </w:style>
  <w:style w:type="character" w:styleId="afc">
    <w:name w:val="Book Title"/>
    <w:uiPriority w:val="33"/>
    <w:qFormat/>
    <w:rsid w:val="007835DF"/>
    <w:rPr>
      <w:b/>
      <w:bCs/>
      <w:i/>
      <w:iCs/>
      <w:spacing w:val="0"/>
    </w:rPr>
  </w:style>
  <w:style w:type="paragraph" w:styleId="afd">
    <w:name w:val="TOC Heading"/>
    <w:basedOn w:val="1"/>
    <w:next w:val="a"/>
    <w:uiPriority w:val="39"/>
    <w:semiHidden/>
    <w:unhideWhenUsed/>
    <w:qFormat/>
    <w:rsid w:val="007835DF"/>
    <w:pPr>
      <w:outlineLvl w:val="9"/>
    </w:pPr>
  </w:style>
  <w:style w:type="table" w:customStyle="1" w:styleId="-111">
    <w:name w:val="Таблица-сетка 1 светлая — акцент 11"/>
    <w:basedOn w:val="a1"/>
    <w:uiPriority w:val="46"/>
    <w:rsid w:val="008F4F8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e">
    <w:name w:val="Body Text"/>
    <w:basedOn w:val="a"/>
    <w:link w:val="aff"/>
    <w:uiPriority w:val="1"/>
    <w:qFormat/>
    <w:rsid w:val="00D2058D"/>
    <w:pPr>
      <w:widowControl w:val="0"/>
      <w:autoSpaceDE w:val="0"/>
      <w:autoSpaceDN w:val="0"/>
      <w:spacing w:before="120" w:after="120" w:line="240" w:lineRule="auto"/>
      <w:jc w:val="both"/>
    </w:pPr>
    <w:rPr>
      <w:rFonts w:ascii="Calibri Light" w:eastAsia="Calibri Light" w:hAnsi="Calibri Light" w:cs="Calibri Light"/>
      <w:sz w:val="22"/>
      <w:szCs w:val="22"/>
      <w:lang w:val="en-GB"/>
    </w:rPr>
  </w:style>
  <w:style w:type="character" w:customStyle="1" w:styleId="aff">
    <w:name w:val="Основной текст Знак"/>
    <w:basedOn w:val="a0"/>
    <w:link w:val="afe"/>
    <w:uiPriority w:val="1"/>
    <w:rsid w:val="00D2058D"/>
    <w:rPr>
      <w:rFonts w:ascii="Calibri Light" w:eastAsia="Calibri Light" w:hAnsi="Calibri Light" w:cs="Calibri Light"/>
      <w:sz w:val="22"/>
      <w:szCs w:val="22"/>
      <w:lang w:val="en-GB"/>
    </w:rPr>
  </w:style>
  <w:style w:type="character" w:styleId="aff0">
    <w:name w:val="annotation reference"/>
    <w:basedOn w:val="a0"/>
    <w:uiPriority w:val="99"/>
    <w:semiHidden/>
    <w:unhideWhenUsed/>
    <w:rsid w:val="000509D3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0509D3"/>
    <w:pPr>
      <w:widowControl w:val="0"/>
      <w:autoSpaceDE w:val="0"/>
      <w:autoSpaceDN w:val="0"/>
      <w:spacing w:before="120" w:after="120" w:line="240" w:lineRule="auto"/>
      <w:jc w:val="both"/>
    </w:pPr>
    <w:rPr>
      <w:rFonts w:ascii="Calibri Light" w:eastAsia="Calibri Light" w:hAnsi="Calibri Light" w:cs="Calibri Light"/>
      <w:lang w:val="en-GB"/>
    </w:rPr>
  </w:style>
  <w:style w:type="character" w:customStyle="1" w:styleId="aff2">
    <w:name w:val="Текст примечания Знак"/>
    <w:basedOn w:val="a0"/>
    <w:link w:val="aff1"/>
    <w:uiPriority w:val="99"/>
    <w:rsid w:val="000509D3"/>
    <w:rPr>
      <w:rFonts w:ascii="Calibri Light" w:eastAsia="Calibri Light" w:hAnsi="Calibri Light" w:cs="Calibri Light"/>
      <w:lang w:val="en-GB"/>
    </w:rPr>
  </w:style>
  <w:style w:type="character" w:customStyle="1" w:styleId="ab">
    <w:name w:val="Абзац списка Знак"/>
    <w:aliases w:val="Bullet Points Знак,Liste Paragraf Знак,Listenabsatz1 Знак,Llista Nivell1 Знак,Lista de nivel 1 Знак,Paragraphe de liste PBLH Знак,Normal bullet 2 Знак,Graph &amp; Table tite Знак,Table of contents numbered Знак,Bullet list Знак,Dot pt Знак"/>
    <w:basedOn w:val="a0"/>
    <w:link w:val="aa"/>
    <w:uiPriority w:val="34"/>
    <w:qFormat/>
    <w:rsid w:val="004C48DB"/>
  </w:style>
  <w:style w:type="table" w:customStyle="1" w:styleId="GridTable6Colorful-Accent61">
    <w:name w:val="Grid Table 6 Colorful - Accent 61"/>
    <w:basedOn w:val="a1"/>
    <w:uiPriority w:val="51"/>
    <w:rsid w:val="004C48DB"/>
    <w:pPr>
      <w:widowControl w:val="0"/>
      <w:autoSpaceDE w:val="0"/>
      <w:autoSpaceDN w:val="0"/>
      <w:spacing w:before="0" w:after="0" w:line="240" w:lineRule="auto"/>
    </w:pPr>
    <w:rPr>
      <w:rFonts w:eastAsiaTheme="minorHAns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210">
    <w:name w:val="Таблица простая 21"/>
    <w:basedOn w:val="a1"/>
    <w:uiPriority w:val="42"/>
    <w:rsid w:val="0060223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gd">
    <w:name w:val="gd"/>
    <w:basedOn w:val="a0"/>
    <w:rsid w:val="00701E94"/>
  </w:style>
  <w:style w:type="character" w:customStyle="1" w:styleId="g3">
    <w:name w:val="g3"/>
    <w:basedOn w:val="a0"/>
    <w:rsid w:val="00701E94"/>
  </w:style>
  <w:style w:type="character" w:customStyle="1" w:styleId="hb">
    <w:name w:val="hb"/>
    <w:basedOn w:val="a0"/>
    <w:rsid w:val="00701E94"/>
  </w:style>
  <w:style w:type="character" w:customStyle="1" w:styleId="g2">
    <w:name w:val="g2"/>
    <w:basedOn w:val="a0"/>
    <w:rsid w:val="00701E94"/>
  </w:style>
  <w:style w:type="paragraph" w:styleId="aff3">
    <w:name w:val="Plain Text"/>
    <w:basedOn w:val="a"/>
    <w:link w:val="aff4"/>
    <w:uiPriority w:val="99"/>
    <w:qFormat/>
    <w:rsid w:val="009C318B"/>
    <w:pPr>
      <w:spacing w:before="0" w:after="0" w:line="240" w:lineRule="auto"/>
    </w:pPr>
    <w:rPr>
      <w:rFonts w:ascii="Courier New" w:eastAsia="Times New Roman" w:hAnsi="Courier New" w:cs="Times New Roman"/>
      <w:b/>
      <w:lang w:val="ru-RU" w:eastAsia="ru-RU"/>
    </w:rPr>
  </w:style>
  <w:style w:type="character" w:customStyle="1" w:styleId="aff4">
    <w:name w:val="Текст Знак"/>
    <w:basedOn w:val="a0"/>
    <w:link w:val="aff3"/>
    <w:uiPriority w:val="99"/>
    <w:qFormat/>
    <w:rsid w:val="009C318B"/>
    <w:rPr>
      <w:rFonts w:ascii="Courier New" w:eastAsia="Times New Roman" w:hAnsi="Courier New" w:cs="Times New Roman"/>
      <w:b/>
      <w:lang w:val="ru-RU" w:eastAsia="ru-RU"/>
    </w:rPr>
  </w:style>
  <w:style w:type="table" w:customStyle="1" w:styleId="TableGrid1">
    <w:name w:val="Table Grid1"/>
    <w:basedOn w:val="a1"/>
    <w:uiPriority w:val="59"/>
    <w:rsid w:val="009C318B"/>
    <w:pPr>
      <w:spacing w:before="0" w:after="0" w:line="240" w:lineRule="auto"/>
    </w:pPr>
    <w:rPr>
      <w:rFonts w:eastAsiaTheme="minorHAns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7813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1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3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7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7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5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5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45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9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885290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8306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4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15923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561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77212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9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03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8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7595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1606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4574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2622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7098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437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955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99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31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7912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1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18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97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0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93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imaria-crangurile.ro/crangurile/fisiere_download_pdf/anunturi_publice_pdf/Lista%20de%20arbusti%20pentru%20impadurire%20_dec_2018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2126381553441AAB919CB53585984" ma:contentTypeVersion="15" ma:contentTypeDescription="Create a new document." ma:contentTypeScope="" ma:versionID="756102ad0d0bdaaa67b33f66f6a84973">
  <xsd:schema xmlns:xsd="http://www.w3.org/2001/XMLSchema" xmlns:xs="http://www.w3.org/2001/XMLSchema" xmlns:p="http://schemas.microsoft.com/office/2006/metadata/properties" xmlns:ns1="http://schemas.microsoft.com/sharepoint/v3" xmlns:ns3="fb6f0dd5-0349-47c8-82f6-4423e71a7ac1" xmlns:ns4="ac8e30ca-65e9-4041-b86a-4d1b6d416c33" targetNamespace="http://schemas.microsoft.com/office/2006/metadata/properties" ma:root="true" ma:fieldsID="4de499eb46de5f0b763cceaebc01dcc1" ns1:_="" ns3:_="" ns4:_="">
    <xsd:import namespace="http://schemas.microsoft.com/sharepoint/v3"/>
    <xsd:import namespace="fb6f0dd5-0349-47c8-82f6-4423e71a7ac1"/>
    <xsd:import namespace="ac8e30ca-65e9-4041-b86a-4d1b6d416c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f0dd5-0349-47c8-82f6-4423e71a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e30ca-65e9-4041-b86a-4d1b6d416c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9FE94-5D4A-4A3A-AFBD-74ACD9B505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5CB54B8-06C0-4BA0-8A1D-5D0C2A4FF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6F32A-743E-4D84-A553-4E87409AD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6f0dd5-0349-47c8-82f6-4423e71a7ac1"/>
    <ds:schemaRef ds:uri="ac8e30ca-65e9-4041-b86a-4d1b6d416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67813-BACE-4391-A0BE-E1A6E8F7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Madhavi M. Pillai</dc:creator>
  <cp:lastModifiedBy>Admin</cp:lastModifiedBy>
  <cp:revision>2</cp:revision>
  <dcterms:created xsi:type="dcterms:W3CDTF">2023-07-11T13:59:00Z</dcterms:created>
  <dcterms:modified xsi:type="dcterms:W3CDTF">2023-07-11T13:59:00Z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0x010100D3F2126381553441AAB919CB53585984</vt:lpwstr>
  </property>
  <property fmtid="{D5CDD505-2E9C-101B-9397-08002B2CF9AE}" pid="3" name="MSIP_Label_48e3fdf0-05a2-4411-bba7-a0945bfb4a0a_Enabled">
    <vt:lpwstr>true</vt:lpwstr>
  </property>
  <property fmtid="{D5CDD505-2E9C-101B-9397-08002B2CF9AE}" pid="4" name="MSIP_Label_48e3fdf0-05a2-4411-bba7-a0945bfb4a0a_SetDate">
    <vt:lpwstr>2021-03-01T16:55:26Z</vt:lpwstr>
  </property>
  <property fmtid="{D5CDD505-2E9C-101B-9397-08002B2CF9AE}" pid="5" name="MSIP_Label_48e3fdf0-05a2-4411-bba7-a0945bfb4a0a_Method">
    <vt:lpwstr>Privileged</vt:lpwstr>
  </property>
  <property fmtid="{D5CDD505-2E9C-101B-9397-08002B2CF9AE}" pid="6" name="MSIP_Label_48e3fdf0-05a2-4411-bba7-a0945bfb4a0a_Name">
    <vt:lpwstr>Label Only - Official Use</vt:lpwstr>
  </property>
  <property fmtid="{D5CDD505-2E9C-101B-9397-08002B2CF9AE}" pid="7" name="MSIP_Label_48e3fdf0-05a2-4411-bba7-a0945bfb4a0a_SiteId">
    <vt:lpwstr>31a2fec0-266b-4c67-b56e-2796d8f59c36</vt:lpwstr>
  </property>
  <property fmtid="{D5CDD505-2E9C-101B-9397-08002B2CF9AE}" pid="8" name="MSIP_Label_48e3fdf0-05a2-4411-bba7-a0945bfb4a0a_ActionId">
    <vt:lpwstr>59cbb7e9-c4e8-4a21-a523-1ab42fba537b</vt:lpwstr>
  </property>
  <property fmtid="{D5CDD505-2E9C-101B-9397-08002B2CF9AE}" pid="9" name="MSIP_Label_48e3fdf0-05a2-4411-bba7-a0945bfb4a0a_ContentBits">
    <vt:lpwstr>2</vt:lpwstr>
  </property>
</Properties>
</file>