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576A95" w:rsidRPr="00331D8B" w:rsidRDefault="00283837" w:rsidP="00331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6A6056">
        <w:rPr>
          <w:rFonts w:ascii="Times New Roman" w:hAnsi="Times New Roman" w:cs="Times New Roman"/>
          <w:b/>
          <w:sz w:val="24"/>
          <w:szCs w:val="24"/>
          <w:lang w:val="en-US"/>
        </w:rPr>
        <w:t>6/</w:t>
      </w:r>
      <w:proofErr w:type="gramStart"/>
      <w:r w:rsidR="006A605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6056">
        <w:rPr>
          <w:rFonts w:ascii="Times New Roman" w:hAnsi="Times New Roman" w:cs="Times New Roman"/>
          <w:b/>
          <w:sz w:val="24"/>
          <w:szCs w:val="24"/>
          <w:lang w:val="en-US"/>
        </w:rPr>
        <w:t>22.07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B97066" w:rsidRDefault="00F7366F" w:rsidP="0033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expunerea</w:t>
      </w:r>
      <w:proofErr w:type="spellEnd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</w:t>
      </w:r>
      <w:proofErr w:type="spellEnd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ț</w:t>
      </w:r>
      <w:proofErr w:type="spellStart"/>
      <w:r w:rsidRPr="00F73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ie</w:t>
      </w:r>
      <w:proofErr w:type="spellEnd"/>
      <w:r w:rsidR="006A6056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terenului</w:t>
      </w:r>
      <w:r w:rsidRPr="00F7366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proprietate  a UAT  Pohorniceni</w:t>
      </w:r>
    </w:p>
    <w:p w:rsidR="00331D8B" w:rsidRPr="00331D8B" w:rsidRDefault="00331D8B" w:rsidP="0033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tbl>
      <w:tblPr>
        <w:tblpPr w:leftFromText="180" w:rightFromText="180" w:vertAnchor="text" w:horzAnchor="margin" w:tblpY="-5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76A95" w:rsidRPr="00F7392B" w:rsidTr="00576A95">
        <w:trPr>
          <w:trHeight w:val="641"/>
        </w:trPr>
        <w:tc>
          <w:tcPr>
            <w:tcW w:w="9630" w:type="dxa"/>
          </w:tcPr>
          <w:p w:rsidR="00576A95" w:rsidRPr="00283837" w:rsidRDefault="00576A95" w:rsidP="00576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76A9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76A95" w:rsidRPr="00331D8B" w:rsidTr="00576A95">
        <w:trPr>
          <w:trHeight w:val="888"/>
        </w:trPr>
        <w:tc>
          <w:tcPr>
            <w:tcW w:w="9630" w:type="dxa"/>
          </w:tcPr>
          <w:p w:rsidR="00576A95" w:rsidRPr="00576A9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76A95" w:rsidRPr="00576A95" w:rsidRDefault="00576A95" w:rsidP="006A6056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motivul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solicitării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etă</w:t>
            </w:r>
            <w:proofErr w:type="gram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țenilor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cumpăra</w:t>
            </w:r>
            <w:proofErr w:type="spellEnd"/>
            <w:r w:rsidR="006A6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A6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terenul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605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nominalizat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în decizia dată</w:t>
            </w:r>
            <w:r w:rsidR="00BE628B">
              <w:rPr>
                <w:lang w:val="ro-RO"/>
              </w:rPr>
              <w:t>.</w:t>
            </w:r>
            <w:r w:rsidRPr="00F7366F">
              <w:rPr>
                <w:lang w:val="ro-RO"/>
              </w:rPr>
              <w:t xml:space="preserve">        </w:t>
            </w:r>
          </w:p>
        </w:tc>
      </w:tr>
      <w:tr w:rsidR="00576A95" w:rsidRPr="00331D8B" w:rsidTr="00576A95">
        <w:trPr>
          <w:trHeight w:val="689"/>
        </w:trPr>
        <w:tc>
          <w:tcPr>
            <w:tcW w:w="9630" w:type="dxa"/>
          </w:tcPr>
          <w:p w:rsidR="00576A95" w:rsidRPr="00C23B24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76A95" w:rsidRPr="00331D8B" w:rsidTr="00576A95">
        <w:trPr>
          <w:trHeight w:val="984"/>
        </w:trPr>
        <w:tc>
          <w:tcPr>
            <w:tcW w:w="9630" w:type="dxa"/>
          </w:tcPr>
          <w:p w:rsidR="00576A95" w:rsidRPr="00331D8B" w:rsidRDefault="00576A95" w:rsidP="00331D8B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331D8B" w:rsidRPr="00331D8B" w:rsidRDefault="00331D8B" w:rsidP="0033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1D8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1. </w:t>
            </w:r>
            <w:r w:rsidRPr="00331D8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expune la licitație pentru vînzare-cumpărare  următorul sector de teren, proprietate a UAT Pohorniceni:</w:t>
            </w:r>
          </w:p>
          <w:p w:rsidR="00331D8B" w:rsidRPr="00331D8B" w:rsidRDefault="00331D8B" w:rsidP="0033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tbl>
            <w:tblPr>
              <w:tblStyle w:val="a4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36"/>
              <w:gridCol w:w="1884"/>
              <w:gridCol w:w="1513"/>
              <w:gridCol w:w="1341"/>
              <w:gridCol w:w="1497"/>
              <w:gridCol w:w="1475"/>
            </w:tblGrid>
            <w:tr w:rsidR="00331D8B" w:rsidRPr="00331D8B" w:rsidTr="00540061">
              <w:tc>
                <w:tcPr>
                  <w:tcW w:w="536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Nr. d/o</w:t>
                  </w:r>
                </w:p>
              </w:tc>
              <w:tc>
                <w:tcPr>
                  <w:tcW w:w="1884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Destinația</w:t>
                  </w:r>
                  <w:proofErr w:type="spellEnd"/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bunului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Nr.</w:t>
                  </w:r>
                </w:p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cadastral</w:t>
                  </w:r>
                </w:p>
              </w:tc>
              <w:tc>
                <w:tcPr>
                  <w:tcW w:w="1341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Suprafața</w:t>
                  </w:r>
                  <w:proofErr w:type="spellEnd"/>
                </w:p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(ha)</w:t>
                  </w:r>
                </w:p>
              </w:tc>
              <w:tc>
                <w:tcPr>
                  <w:tcW w:w="1497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Amplasarea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proofErr w:type="spellStart"/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Prețul</w:t>
                  </w:r>
                  <w:proofErr w:type="spellEnd"/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inițial</w:t>
                  </w:r>
                  <w:proofErr w:type="spellEnd"/>
                </w:p>
                <w:p w:rsidR="00331D8B" w:rsidRPr="00331D8B" w:rsidRDefault="00331D8B" w:rsidP="00331D8B">
                  <w:pPr>
                    <w:framePr w:hSpace="180" w:wrap="around" w:vAnchor="text" w:hAnchor="margin" w:y="-55"/>
                    <w:jc w:val="center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(lei)</w:t>
                  </w:r>
                </w:p>
              </w:tc>
            </w:tr>
            <w:tr w:rsidR="00331D8B" w:rsidRPr="00331D8B" w:rsidTr="00540061">
              <w:tc>
                <w:tcPr>
                  <w:tcW w:w="536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lang w:val="en-US"/>
                    </w:rPr>
                    <w:t>1.</w:t>
                  </w:r>
                </w:p>
              </w:tc>
              <w:tc>
                <w:tcPr>
                  <w:tcW w:w="1884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331D8B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331D8B">
                    <w:rPr>
                      <w:rFonts w:ascii="Times New Roman" w:hAnsi="Times New Roman" w:cs="Times New Roman"/>
                      <w:lang w:val="en-US"/>
                    </w:rPr>
                    <w:t xml:space="preserve">  </w:t>
                  </w:r>
                  <w:proofErr w:type="spellStart"/>
                  <w:r w:rsidRPr="00331D8B">
                    <w:rPr>
                      <w:rFonts w:ascii="Times New Roman" w:hAnsi="Times New Roman" w:cs="Times New Roman"/>
                      <w:lang w:val="en-US"/>
                    </w:rPr>
                    <w:t>construcții</w:t>
                  </w:r>
                  <w:proofErr w:type="spellEnd"/>
                </w:p>
              </w:tc>
              <w:tc>
                <w:tcPr>
                  <w:tcW w:w="1513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lang w:val="en-US"/>
                    </w:rPr>
                    <w:t>6457116.102</w:t>
                  </w:r>
                </w:p>
              </w:tc>
              <w:tc>
                <w:tcPr>
                  <w:tcW w:w="1341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lang w:val="en-US"/>
                    </w:rPr>
                    <w:t>0,0257</w:t>
                  </w:r>
                </w:p>
              </w:tc>
              <w:tc>
                <w:tcPr>
                  <w:tcW w:w="1497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331D8B">
                    <w:rPr>
                      <w:rFonts w:ascii="Times New Roman" w:hAnsi="Times New Roman" w:cs="Times New Roman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475" w:type="dxa"/>
                </w:tcPr>
                <w:p w:rsidR="00331D8B" w:rsidRPr="00331D8B" w:rsidRDefault="00331D8B" w:rsidP="00331D8B">
                  <w:pPr>
                    <w:framePr w:hSpace="180" w:wrap="around" w:vAnchor="text" w:hAnchor="margin" w:y="-55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31D8B">
                    <w:rPr>
                      <w:rFonts w:ascii="Times New Roman" w:hAnsi="Times New Roman" w:cs="Times New Roman"/>
                      <w:lang w:val="en-US"/>
                    </w:rPr>
                    <w:t xml:space="preserve"> 14000</w:t>
                  </w:r>
                </w:p>
              </w:tc>
            </w:tr>
          </w:tbl>
          <w:p w:rsidR="00331D8B" w:rsidRPr="00331D8B" w:rsidRDefault="00331D8B" w:rsidP="0033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p w:rsidR="00331D8B" w:rsidRPr="00331D8B" w:rsidRDefault="00331D8B" w:rsidP="0033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1D8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 Se aprobă textul comunicatului informativ, privind desfășurarea licitației, conform anexei.</w:t>
            </w:r>
          </w:p>
          <w:p w:rsidR="00331D8B" w:rsidRPr="00331D8B" w:rsidRDefault="00331D8B" w:rsidP="0033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1D8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 Se obligă Primăria Pohorniceni să publice în Monitorul Oficial al Republicii Moldova comunicatul informativ  privind desfășurarea licitației.</w:t>
            </w:r>
          </w:p>
          <w:p w:rsidR="00331D8B" w:rsidRPr="00331D8B" w:rsidRDefault="00331D8B" w:rsidP="0033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1D8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 Comisia de licitație își va exercita atribuțiile, în comformitate cu legislația în vigoare.</w:t>
            </w:r>
          </w:p>
          <w:p w:rsidR="00576A95" w:rsidRPr="00F7366F" w:rsidRDefault="00331D8B" w:rsidP="0033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1D8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5. Se împuternicește, dl Ianec Corobciuc, primarul satului Pohorniceni, de a încheia contractul de vînzare-cumpărare cu cîștigătorul licitației.</w:t>
            </w:r>
          </w:p>
        </w:tc>
      </w:tr>
      <w:tr w:rsidR="00576A95" w:rsidRPr="00331D8B" w:rsidTr="00576A95">
        <w:trPr>
          <w:trHeight w:val="894"/>
        </w:trPr>
        <w:tc>
          <w:tcPr>
            <w:tcW w:w="9630" w:type="dxa"/>
          </w:tcPr>
          <w:p w:rsidR="00576A95" w:rsidRPr="00316F5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76A95" w:rsidRPr="00BF0463" w:rsidRDefault="00576A95" w:rsidP="00576A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576A95" w:rsidRPr="00331D8B" w:rsidTr="00576A95">
        <w:trPr>
          <w:trHeight w:val="447"/>
        </w:trPr>
        <w:tc>
          <w:tcPr>
            <w:tcW w:w="9630" w:type="dxa"/>
          </w:tcPr>
          <w:p w:rsidR="00576A9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A95" w:rsidRPr="00316F5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acte.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76A95" w:rsidRPr="00331D8B" w:rsidTr="00576A95">
        <w:trPr>
          <w:trHeight w:val="2205"/>
        </w:trPr>
        <w:tc>
          <w:tcPr>
            <w:tcW w:w="9630" w:type="dxa"/>
          </w:tcPr>
          <w:p w:rsidR="00576A95" w:rsidRPr="00316F5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576A95" w:rsidRPr="009C5B72" w:rsidRDefault="00576A95" w:rsidP="009C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„Cu privire la </w:t>
            </w:r>
            <w:proofErr w:type="spellStart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expunerea</w:t>
            </w:r>
            <w:proofErr w:type="spellEnd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licita</w:t>
            </w:r>
            <w:proofErr w:type="spellEnd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ț</w:t>
            </w:r>
            <w:proofErr w:type="spellStart"/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</w:t>
            </w:r>
            <w:proofErr w:type="spellEnd"/>
            <w:r w:rsid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6A605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 terenului</w:t>
            </w:r>
            <w:r w:rsidR="009C5B72" w:rsidRP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proprietate  a UAT  Pohorniceni</w:t>
            </w:r>
            <w:r w:rsidR="009C5B7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76A95" w:rsidRPr="00E3078F" w:rsidRDefault="00576A95" w:rsidP="00576A9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</w:p>
          <w:p w:rsidR="00576A95" w:rsidRPr="00316F55" w:rsidRDefault="00576A95" w:rsidP="00576A9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76A95" w:rsidRPr="00331D8B" w:rsidTr="00576A95">
        <w:trPr>
          <w:trHeight w:val="315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331D8B" w:rsidTr="00576A95">
        <w:trPr>
          <w:trHeight w:val="202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331D8B" w:rsidTr="00576A95">
        <w:trPr>
          <w:trHeight w:val="313"/>
        </w:trPr>
        <w:tc>
          <w:tcPr>
            <w:tcW w:w="9630" w:type="dxa"/>
          </w:tcPr>
          <w:p w:rsidR="00576A95" w:rsidRDefault="00576A95" w:rsidP="00576A95">
            <w:pPr>
              <w:spacing w:after="0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76A95" w:rsidRPr="00576A95" w:rsidRDefault="00576A95" w:rsidP="00331D8B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În temeiul  Legii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 administraţia publică locală,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nr. 436-XVI din 28.12.2006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art.14, alin.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(2), lit. d), art. 76,77,</w:t>
            </w:r>
            <w:r w:rsidRPr="00206D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Legii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descentralizarea administrativă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 435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>-XVI din 28.12.2006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art.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4, alin.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(1), lit. g), în conformitate cu</w:t>
            </w:r>
            <w:r w:rsidRPr="008C57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Regulamentul privind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licitațiile cu strigare și cu reducere, aprobat prin Hotărîrea Guvernului nr. 136 din 10.02.2009, Legii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nr.1308 din 25.07.1997 privind prețul normativ și modul de vînzare – cumpărare a pămîntului</w:t>
            </w:r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Raportul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576A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 0367164 din 09.04.2021</w:t>
            </w:r>
            <w:r w:rsidR="00331D8B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,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576A95" w:rsidRPr="00331D8B" w:rsidTr="00331D8B">
        <w:trPr>
          <w:trHeight w:val="366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331D8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029D3"/>
    <w:rsid w:val="001503A8"/>
    <w:rsid w:val="00203CBF"/>
    <w:rsid w:val="0022465B"/>
    <w:rsid w:val="00283837"/>
    <w:rsid w:val="00316F55"/>
    <w:rsid w:val="00331D8B"/>
    <w:rsid w:val="003A61AD"/>
    <w:rsid w:val="004653D9"/>
    <w:rsid w:val="004E42DD"/>
    <w:rsid w:val="00576A95"/>
    <w:rsid w:val="005E1BC9"/>
    <w:rsid w:val="005F3F3D"/>
    <w:rsid w:val="00615835"/>
    <w:rsid w:val="006725D8"/>
    <w:rsid w:val="006A3928"/>
    <w:rsid w:val="006A6056"/>
    <w:rsid w:val="00770717"/>
    <w:rsid w:val="0081390A"/>
    <w:rsid w:val="009C5B72"/>
    <w:rsid w:val="009E0F27"/>
    <w:rsid w:val="009F0D2A"/>
    <w:rsid w:val="009F5F20"/>
    <w:rsid w:val="00B86808"/>
    <w:rsid w:val="00B97066"/>
    <w:rsid w:val="00BE628B"/>
    <w:rsid w:val="00BF0463"/>
    <w:rsid w:val="00C23B24"/>
    <w:rsid w:val="00D27A2E"/>
    <w:rsid w:val="00D92133"/>
    <w:rsid w:val="00DD6C0E"/>
    <w:rsid w:val="00E3078F"/>
    <w:rsid w:val="00EB5132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2021-04-26T15:24:00Z</cp:lastPrinted>
  <dcterms:created xsi:type="dcterms:W3CDTF">2021-03-03T15:23:00Z</dcterms:created>
  <dcterms:modified xsi:type="dcterms:W3CDTF">2021-07-21T08:14:00Z</dcterms:modified>
</cp:coreProperties>
</file>