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541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432148" w:rsidTr="00432148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211EE0">
            <w:pPr>
              <w:spacing w:line="276" w:lineRule="auto"/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432148" w:rsidRPr="00A94649" w:rsidRDefault="00432148" w:rsidP="00211EE0">
            <w:pPr>
              <w:tabs>
                <w:tab w:val="right" w:pos="3509"/>
              </w:tabs>
              <w:spacing w:line="276" w:lineRule="auto"/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432148" w:rsidRDefault="00432148" w:rsidP="00211EE0">
            <w:pPr>
              <w:spacing w:line="276" w:lineRule="auto"/>
              <w:jc w:val="center"/>
              <w:rPr>
                <w:noProof/>
                <w:lang w:val="ro-RO"/>
              </w:rPr>
            </w:pPr>
          </w:p>
          <w:p w:rsidR="00432148" w:rsidRPr="00A94649" w:rsidRDefault="00432148" w:rsidP="00211EE0">
            <w:pPr>
              <w:spacing w:line="276" w:lineRule="auto"/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6074F967" wp14:editId="0290C036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211EE0">
            <w:pPr>
              <w:spacing w:line="276" w:lineRule="auto"/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432148" w:rsidRDefault="00432148" w:rsidP="00211EE0">
            <w:pPr>
              <w:spacing w:line="276" w:lineRule="auto"/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432148" w:rsidRDefault="00432148" w:rsidP="00211EE0">
            <w:pPr>
              <w:spacing w:line="276" w:lineRule="auto"/>
              <w:jc w:val="center"/>
              <w:rPr>
                <w:lang w:val="ro-MO"/>
              </w:rPr>
            </w:pP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504632" w:rsidRPr="00504632" w:rsidRDefault="00504632" w:rsidP="00504632">
      <w:pPr>
        <w:tabs>
          <w:tab w:val="left" w:pos="8250"/>
        </w:tabs>
        <w:jc w:val="right"/>
        <w:rPr>
          <w:rFonts w:eastAsia="Calibri"/>
          <w:lang w:val="ro-RO"/>
        </w:rPr>
      </w:pPr>
      <w:r w:rsidRPr="00504632">
        <w:rPr>
          <w:rFonts w:eastAsia="Calibri"/>
          <w:lang w:val="ro-RO"/>
        </w:rPr>
        <w:t>Proiect</w:t>
      </w:r>
    </w:p>
    <w:p w:rsidR="0066407D" w:rsidRPr="00432148" w:rsidRDefault="00364055" w:rsidP="00432148">
      <w:pPr>
        <w:tabs>
          <w:tab w:val="left" w:pos="8250"/>
        </w:tabs>
        <w:jc w:val="center"/>
        <w:rPr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r w:rsidR="00C80B45">
        <w:rPr>
          <w:rFonts w:eastAsia="Calibri"/>
          <w:b/>
          <w:lang w:val="ro-RO"/>
        </w:rPr>
        <w:t>4/</w:t>
      </w:r>
      <w:r w:rsidR="00D11CE6">
        <w:rPr>
          <w:rFonts w:eastAsia="Calibri"/>
          <w:b/>
          <w:lang w:val="ro-RO"/>
        </w:rPr>
        <w:t>1</w:t>
      </w:r>
    </w:p>
    <w:p w:rsidR="0066407D" w:rsidRDefault="0066407D" w:rsidP="0066407D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D11CE6">
        <w:rPr>
          <w:rFonts w:eastAsia="Calibri"/>
          <w:b/>
          <w:lang w:val="en-US"/>
        </w:rPr>
        <w:t>26.04.2021</w:t>
      </w:r>
    </w:p>
    <w:p w:rsidR="0066407D" w:rsidRPr="0000516F" w:rsidRDefault="0066407D" w:rsidP="00504632">
      <w:pPr>
        <w:rPr>
          <w:lang w:val="en-US"/>
        </w:rPr>
      </w:pPr>
    </w:p>
    <w:p w:rsidR="002B53A8" w:rsidRDefault="002B53A8" w:rsidP="0066407D">
      <w:pPr>
        <w:rPr>
          <w:b/>
          <w:lang w:val="ro-MO"/>
        </w:rPr>
      </w:pPr>
      <w:r>
        <w:rPr>
          <w:b/>
          <w:lang w:val="ro-RO"/>
        </w:rPr>
        <w:t>„Cu privire</w:t>
      </w:r>
      <w:r w:rsidR="0066407D" w:rsidRPr="00335A86">
        <w:rPr>
          <w:b/>
          <w:lang w:val="ro-RO"/>
        </w:rPr>
        <w:t xml:space="preserve"> la </w:t>
      </w:r>
      <w:proofErr w:type="spellStart"/>
      <w:r w:rsidRPr="002B53A8">
        <w:rPr>
          <w:b/>
          <w:lang w:val="en-US"/>
        </w:rPr>
        <w:t>expunerea</w:t>
      </w:r>
      <w:proofErr w:type="spellEnd"/>
      <w:r w:rsidRPr="002B53A8">
        <w:rPr>
          <w:b/>
          <w:lang w:val="en-US"/>
        </w:rPr>
        <w:t xml:space="preserve"> la </w:t>
      </w:r>
      <w:proofErr w:type="spellStart"/>
      <w:r w:rsidRPr="002B53A8">
        <w:rPr>
          <w:b/>
          <w:lang w:val="en-US"/>
        </w:rPr>
        <w:t>licita</w:t>
      </w:r>
      <w:proofErr w:type="spellEnd"/>
      <w:r>
        <w:rPr>
          <w:b/>
          <w:lang w:val="ro-MO"/>
        </w:rPr>
        <w:t>ț</w:t>
      </w:r>
      <w:proofErr w:type="spellStart"/>
      <w:r w:rsidRPr="002B53A8">
        <w:rPr>
          <w:b/>
          <w:lang w:val="en-US"/>
        </w:rPr>
        <w:t>ie</w:t>
      </w:r>
      <w:proofErr w:type="spellEnd"/>
      <w:r>
        <w:rPr>
          <w:b/>
          <w:lang w:val="ro-MO"/>
        </w:rPr>
        <w:t xml:space="preserve"> </w:t>
      </w:r>
    </w:p>
    <w:p w:rsidR="0066407D" w:rsidRPr="00335A86" w:rsidRDefault="002B53A8" w:rsidP="0066407D">
      <w:pPr>
        <w:rPr>
          <w:b/>
          <w:lang w:val="ro-RO"/>
        </w:rPr>
      </w:pPr>
      <w:r>
        <w:rPr>
          <w:b/>
          <w:lang w:val="ro-MO"/>
        </w:rPr>
        <w:t xml:space="preserve"> a terenurilor proprietate  a UAT  Pohorniceni</w:t>
      </w:r>
      <w:r w:rsidR="0066407D" w:rsidRPr="00335A86">
        <w:rPr>
          <w:b/>
          <w:lang w:val="ro-RO"/>
        </w:rPr>
        <w:t>”</w:t>
      </w:r>
    </w:p>
    <w:p w:rsidR="0066407D" w:rsidRPr="0000516F" w:rsidRDefault="0066407D" w:rsidP="0066407D">
      <w:pPr>
        <w:rPr>
          <w:lang w:val="en-US"/>
        </w:rPr>
      </w:pPr>
    </w:p>
    <w:p w:rsidR="0066407D" w:rsidRDefault="0066407D" w:rsidP="004321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8C5777">
        <w:rPr>
          <w:rFonts w:ascii="Times New Roman" w:hAnsi="Times New Roman"/>
          <w:sz w:val="24"/>
          <w:szCs w:val="24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</w:t>
      </w:r>
      <w:r w:rsidR="00206D9E">
        <w:rPr>
          <w:rFonts w:ascii="Times New Roman" w:hAnsi="Times New Roman"/>
          <w:sz w:val="24"/>
          <w:szCs w:val="24"/>
          <w:lang w:val="ro-RO"/>
        </w:rPr>
        <w:t>(2), lit. d</w:t>
      </w:r>
      <w:r w:rsidR="00DF5EFE">
        <w:rPr>
          <w:rFonts w:ascii="Times New Roman" w:hAnsi="Times New Roman"/>
          <w:sz w:val="24"/>
          <w:szCs w:val="24"/>
          <w:lang w:val="ro-RO"/>
        </w:rPr>
        <w:t>),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 art. 76,77,</w:t>
      </w:r>
      <w:r w:rsidR="00206D9E" w:rsidRPr="00206D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Legii</w:t>
      </w:r>
      <w:r w:rsidR="00206D9E"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D9E"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="00206D9E" w:rsidRPr="008C5777">
        <w:rPr>
          <w:rFonts w:ascii="Times New Roman" w:hAnsi="Times New Roman"/>
          <w:sz w:val="24"/>
          <w:szCs w:val="24"/>
        </w:rPr>
        <w:t xml:space="preserve"> Moldova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 xml:space="preserve"> privind  </w:t>
      </w:r>
      <w:r w:rsidR="00206D9E">
        <w:rPr>
          <w:rFonts w:ascii="Times New Roman" w:hAnsi="Times New Roman"/>
          <w:sz w:val="24"/>
          <w:szCs w:val="24"/>
          <w:lang w:val="ro-RO"/>
        </w:rPr>
        <w:t>descentralizarea administrativă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,</w:t>
      </w:r>
      <w:r w:rsidR="00206D9E" w:rsidRPr="008C5777">
        <w:rPr>
          <w:rFonts w:ascii="Times New Roman" w:hAnsi="Times New Roman"/>
          <w:sz w:val="24"/>
          <w:szCs w:val="24"/>
        </w:rPr>
        <w:t xml:space="preserve"> </w:t>
      </w:r>
      <w:r w:rsidR="00206D9E">
        <w:rPr>
          <w:rFonts w:ascii="Times New Roman" w:hAnsi="Times New Roman"/>
          <w:sz w:val="24"/>
          <w:szCs w:val="24"/>
          <w:lang w:val="ro-RO"/>
        </w:rPr>
        <w:t>nr. 435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-XVI din 28.12.2006</w:t>
      </w:r>
      <w:r w:rsidR="00206D9E" w:rsidRPr="008C5777">
        <w:rPr>
          <w:rFonts w:ascii="Times New Roman" w:hAnsi="Times New Roman"/>
          <w:sz w:val="24"/>
          <w:szCs w:val="24"/>
        </w:rPr>
        <w:t>,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 art.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 xml:space="preserve">4, alin. </w:t>
      </w:r>
      <w:r w:rsidR="00206D9E">
        <w:rPr>
          <w:rFonts w:ascii="Times New Roman" w:hAnsi="Times New Roman"/>
          <w:sz w:val="24"/>
          <w:szCs w:val="24"/>
          <w:lang w:val="ro-RO"/>
        </w:rPr>
        <w:t>(1), lit. g),</w:t>
      </w:r>
      <w:r w:rsidR="00DF5EFE">
        <w:rPr>
          <w:rFonts w:ascii="Times New Roman" w:hAnsi="Times New Roman"/>
          <w:sz w:val="24"/>
          <w:szCs w:val="24"/>
          <w:lang w:val="ro-RO"/>
        </w:rPr>
        <w:t xml:space="preserve"> în conformitate cu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Regulamentul privind </w:t>
      </w:r>
      <w:r w:rsidR="00206D9E">
        <w:rPr>
          <w:rFonts w:ascii="Times New Roman" w:hAnsi="Times New Roman"/>
          <w:sz w:val="24"/>
          <w:szCs w:val="24"/>
          <w:lang w:val="ro-RO"/>
        </w:rPr>
        <w:t>licitațiile cu str</w:t>
      </w:r>
      <w:r w:rsidR="00D11CE6">
        <w:rPr>
          <w:rFonts w:ascii="Times New Roman" w:hAnsi="Times New Roman"/>
          <w:sz w:val="24"/>
          <w:szCs w:val="24"/>
          <w:lang w:val="ro-RO"/>
        </w:rPr>
        <w:t>igare și cu reducere, aprobat p</w:t>
      </w:r>
      <w:r w:rsidR="00206D9E">
        <w:rPr>
          <w:rFonts w:ascii="Times New Roman" w:hAnsi="Times New Roman"/>
          <w:sz w:val="24"/>
          <w:szCs w:val="24"/>
          <w:lang w:val="ro-RO"/>
        </w:rPr>
        <w:t>rin Hotărîrea Guvernului nr. 136 din 10.02.2009</w:t>
      </w:r>
      <w:r w:rsidR="00D11CE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2255A">
        <w:rPr>
          <w:rFonts w:ascii="Times New Roman" w:hAnsi="Times New Roman"/>
          <w:sz w:val="24"/>
          <w:szCs w:val="24"/>
          <w:lang w:val="ro-RO"/>
        </w:rPr>
        <w:t>Legii</w:t>
      </w:r>
      <w:r w:rsidR="00C2255A" w:rsidRPr="00C22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255A"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="00C2255A" w:rsidRPr="008C5777">
        <w:rPr>
          <w:rFonts w:ascii="Times New Roman" w:hAnsi="Times New Roman"/>
          <w:sz w:val="24"/>
          <w:szCs w:val="24"/>
        </w:rPr>
        <w:t xml:space="preserve"> Moldova</w:t>
      </w:r>
      <w:r w:rsidR="00C2255A">
        <w:rPr>
          <w:rFonts w:ascii="Times New Roman" w:hAnsi="Times New Roman"/>
          <w:sz w:val="24"/>
          <w:szCs w:val="24"/>
          <w:lang w:val="ro-RO"/>
        </w:rPr>
        <w:t xml:space="preserve"> nr.1308 din 25.07.1997 privind prețul normativ și modul de vînzare – cumpărare a pămîntului</w:t>
      </w:r>
      <w:r w:rsidR="00C225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2255A">
        <w:rPr>
          <w:rFonts w:ascii="Times New Roman" w:hAnsi="Times New Roman"/>
          <w:sz w:val="24"/>
          <w:szCs w:val="24"/>
        </w:rPr>
        <w:t>Raportul</w:t>
      </w:r>
      <w:proofErr w:type="spellEnd"/>
      <w:r w:rsidR="00C225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2255A">
        <w:rPr>
          <w:rFonts w:ascii="Times New Roman" w:hAnsi="Times New Roman"/>
          <w:sz w:val="24"/>
          <w:szCs w:val="24"/>
        </w:rPr>
        <w:t>evaluare</w:t>
      </w:r>
      <w:proofErr w:type="spellEnd"/>
      <w:r w:rsidR="00C2255A">
        <w:rPr>
          <w:rFonts w:ascii="Times New Roman" w:hAnsi="Times New Roman"/>
          <w:sz w:val="24"/>
          <w:szCs w:val="24"/>
        </w:rPr>
        <w:t xml:space="preserve"> Nr. 0367164 din 09.04.2021</w:t>
      </w:r>
      <w:r w:rsidR="00C2255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și avînd avizul </w:t>
      </w:r>
      <w:proofErr w:type="spellStart"/>
      <w:r w:rsidR="00761160">
        <w:rPr>
          <w:rFonts w:ascii="Times New Roman" w:hAnsi="Times New Roman"/>
          <w:sz w:val="24"/>
          <w:szCs w:val="24"/>
        </w:rPr>
        <w:t>pozitiv</w:t>
      </w:r>
      <w:proofErr w:type="spellEnd"/>
      <w:r w:rsidR="00A12AF8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al </w:t>
      </w:r>
      <w:r>
        <w:rPr>
          <w:rFonts w:ascii="Times New Roman" w:hAnsi="Times New Roman"/>
          <w:sz w:val="24"/>
          <w:szCs w:val="24"/>
          <w:lang w:val="ro-RO"/>
        </w:rPr>
        <w:t xml:space="preserve">Comisiei </w:t>
      </w:r>
      <w:r>
        <w:t>consultative</w:t>
      </w:r>
      <w:r>
        <w:rPr>
          <w:rFonts w:ascii="Times New Roman" w:hAnsi="Times New Roman"/>
          <w:sz w:val="24"/>
          <w:szCs w:val="24"/>
          <w:lang w:val="ro-RO"/>
        </w:rPr>
        <w:t xml:space="preserve"> de specialitate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206D9E" w:rsidRPr="00206D9E">
        <w:rPr>
          <w:rFonts w:ascii="Times New Roman" w:eastAsia="Times New Roman" w:hAnsi="Times New Roman"/>
          <w:sz w:val="24"/>
          <w:szCs w:val="24"/>
          <w:lang w:val="ro-RO" w:eastAsia="ru-RU"/>
        </w:rPr>
        <w:t>agricultură, industrie, construcții și protecția mediului</w:t>
      </w:r>
      <w:r w:rsidR="00206D9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</w:t>
      </w:r>
      <w:r w:rsidR="00761160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C5777">
        <w:rPr>
          <w:rFonts w:ascii="Times New Roman" w:hAnsi="Times New Roman"/>
          <w:sz w:val="24"/>
          <w:szCs w:val="24"/>
          <w:lang w:val="ro-RO"/>
        </w:rPr>
        <w:t>Consiliul local Pohorniceni</w:t>
      </w:r>
    </w:p>
    <w:p w:rsidR="00761160" w:rsidRPr="00C2255A" w:rsidRDefault="00761160" w:rsidP="00EF6F94">
      <w:pPr>
        <w:pStyle w:val="a5"/>
        <w:spacing w:after="0"/>
        <w:ind w:left="0" w:firstLine="709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6407D" w:rsidRPr="00335A86" w:rsidRDefault="0066407D" w:rsidP="0066407D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EF6F94" w:rsidRDefault="0066407D" w:rsidP="00432148">
      <w:pPr>
        <w:pStyle w:val="a5"/>
        <w:numPr>
          <w:ilvl w:val="0"/>
          <w:numId w:val="1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  <w:lang w:val="ro-RO"/>
        </w:rPr>
      </w:pPr>
      <w:r w:rsidRPr="00432148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EF6F94" w:rsidRPr="00432148">
        <w:rPr>
          <w:rFonts w:ascii="Times New Roman" w:hAnsi="Times New Roman"/>
          <w:sz w:val="24"/>
          <w:szCs w:val="24"/>
          <w:lang w:val="ro-RO"/>
        </w:rPr>
        <w:t>expun la licitație pentru dreptul de arendă, pe un termen de 5 ani,  următoarele sectoare de teren, proprietate a UAT Pohorniceni: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4"/>
        <w:gridCol w:w="1974"/>
        <w:gridCol w:w="1559"/>
        <w:gridCol w:w="1276"/>
        <w:gridCol w:w="1418"/>
        <w:gridCol w:w="1701"/>
      </w:tblGrid>
      <w:tr w:rsidR="000D03E9" w:rsidRPr="000D03E9" w:rsidTr="00BD4E60">
        <w:tc>
          <w:tcPr>
            <w:tcW w:w="544" w:type="dxa"/>
          </w:tcPr>
          <w:p w:rsidR="000D03E9" w:rsidRP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Nr. d/o</w:t>
            </w:r>
          </w:p>
        </w:tc>
        <w:tc>
          <w:tcPr>
            <w:tcW w:w="1974" w:type="dxa"/>
          </w:tcPr>
          <w:p w:rsid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Destinația</w:t>
            </w:r>
            <w:proofErr w:type="spellEnd"/>
          </w:p>
          <w:p w:rsidR="000D03E9" w:rsidRP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bunului</w:t>
            </w:r>
            <w:proofErr w:type="spellEnd"/>
          </w:p>
        </w:tc>
        <w:tc>
          <w:tcPr>
            <w:tcW w:w="1559" w:type="dxa"/>
          </w:tcPr>
          <w:p w:rsid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Nr. </w:t>
            </w:r>
          </w:p>
          <w:p w:rsidR="000D03E9" w:rsidRP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cadastral</w:t>
            </w:r>
          </w:p>
        </w:tc>
        <w:tc>
          <w:tcPr>
            <w:tcW w:w="1276" w:type="dxa"/>
          </w:tcPr>
          <w:p w:rsidR="000D03E9" w:rsidRP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Suprafața</w:t>
            </w:r>
            <w:proofErr w:type="spellEnd"/>
          </w:p>
          <w:p w:rsidR="000D03E9" w:rsidRP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(ha)</w:t>
            </w:r>
          </w:p>
        </w:tc>
        <w:tc>
          <w:tcPr>
            <w:tcW w:w="1418" w:type="dxa"/>
          </w:tcPr>
          <w:p w:rsidR="000D03E9" w:rsidRPr="000D03E9" w:rsidRDefault="000D03E9" w:rsidP="000D03E9">
            <w:pPr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Amplasarea</w:t>
            </w:r>
            <w:proofErr w:type="spellEnd"/>
          </w:p>
        </w:tc>
        <w:tc>
          <w:tcPr>
            <w:tcW w:w="1701" w:type="dxa"/>
          </w:tcPr>
          <w:p w:rsidR="000D03E9" w:rsidRP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Prețul</w:t>
            </w:r>
            <w:proofErr w:type="spellEnd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inițial</w:t>
            </w:r>
            <w:proofErr w:type="spellEnd"/>
          </w:p>
          <w:p w:rsidR="000D03E9" w:rsidRPr="000D03E9" w:rsidRDefault="000D03E9" w:rsidP="000D03E9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(lei)</w:t>
            </w:r>
          </w:p>
        </w:tc>
      </w:tr>
      <w:tr w:rsidR="000D03E9" w:rsidRPr="000D03E9" w:rsidTr="00BD4E60">
        <w:tc>
          <w:tcPr>
            <w:tcW w:w="544" w:type="dxa"/>
          </w:tcPr>
          <w:p w:rsidR="000D03E9" w:rsidRPr="000D03E9" w:rsidRDefault="000D03E9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74" w:type="dxa"/>
          </w:tcPr>
          <w:p w:rsidR="000D03E9" w:rsidRPr="000D03E9" w:rsidRDefault="000D03E9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0D03E9" w:rsidRPr="000D03E9" w:rsidRDefault="000D03E9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9457117082</w:t>
            </w:r>
          </w:p>
        </w:tc>
        <w:tc>
          <w:tcPr>
            <w:tcW w:w="1276" w:type="dxa"/>
          </w:tcPr>
          <w:p w:rsidR="000D03E9" w:rsidRPr="000D03E9" w:rsidRDefault="000D03E9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0,0351</w:t>
            </w:r>
          </w:p>
        </w:tc>
        <w:tc>
          <w:tcPr>
            <w:tcW w:w="1418" w:type="dxa"/>
          </w:tcPr>
          <w:p w:rsidR="000D03E9" w:rsidRPr="000D03E9" w:rsidRDefault="000D03E9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0D03E9" w:rsidRPr="000D03E9" w:rsidRDefault="000D03E9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1000</w:t>
            </w:r>
          </w:p>
        </w:tc>
      </w:tr>
      <w:tr w:rsidR="00B7287B" w:rsidRPr="000D03E9" w:rsidTr="00BD4E60">
        <w:tc>
          <w:tcPr>
            <w:tcW w:w="54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74" w:type="dxa"/>
          </w:tcPr>
          <w:p w:rsidR="00B7287B" w:rsidRPr="000D03E9" w:rsidRDefault="00B7287B" w:rsidP="00E61761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B7287B" w:rsidRPr="000D03E9" w:rsidRDefault="00B7287B" w:rsidP="00E61761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6457117.081</w:t>
            </w:r>
          </w:p>
        </w:tc>
        <w:tc>
          <w:tcPr>
            <w:tcW w:w="1276" w:type="dxa"/>
          </w:tcPr>
          <w:p w:rsidR="00B7287B" w:rsidRPr="000D03E9" w:rsidRDefault="00B7287B" w:rsidP="00E61761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0,0253</w:t>
            </w:r>
          </w:p>
        </w:tc>
        <w:tc>
          <w:tcPr>
            <w:tcW w:w="1418" w:type="dxa"/>
          </w:tcPr>
          <w:p w:rsidR="00B7287B" w:rsidRPr="000D03E9" w:rsidRDefault="00B7287B" w:rsidP="00E61761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B7287B" w:rsidRPr="000D03E9" w:rsidRDefault="00B7287B" w:rsidP="00B7287B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720</w:t>
            </w:r>
          </w:p>
        </w:tc>
        <w:bookmarkStart w:id="0" w:name="_GoBack"/>
        <w:bookmarkEnd w:id="0"/>
      </w:tr>
      <w:tr w:rsidR="00B7287B" w:rsidRPr="000D03E9" w:rsidTr="00BD4E60">
        <w:tc>
          <w:tcPr>
            <w:tcW w:w="54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7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6457117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084</w:t>
            </w:r>
          </w:p>
        </w:tc>
        <w:tc>
          <w:tcPr>
            <w:tcW w:w="1276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0,0715</w:t>
            </w:r>
          </w:p>
        </w:tc>
        <w:tc>
          <w:tcPr>
            <w:tcW w:w="1418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1000</w:t>
            </w:r>
          </w:p>
        </w:tc>
      </w:tr>
      <w:tr w:rsidR="00B7287B" w:rsidRPr="000D03E9" w:rsidTr="00BD4E60">
        <w:tc>
          <w:tcPr>
            <w:tcW w:w="54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7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6457106.310</w:t>
            </w:r>
          </w:p>
        </w:tc>
        <w:tc>
          <w:tcPr>
            <w:tcW w:w="1276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0,0723</w:t>
            </w:r>
          </w:p>
        </w:tc>
        <w:tc>
          <w:tcPr>
            <w:tcW w:w="1418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extravilan</w:t>
            </w:r>
            <w:proofErr w:type="spellEnd"/>
          </w:p>
        </w:tc>
        <w:tc>
          <w:tcPr>
            <w:tcW w:w="1701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1868</w:t>
            </w:r>
          </w:p>
        </w:tc>
      </w:tr>
      <w:tr w:rsidR="00B7287B" w:rsidRPr="000D03E9" w:rsidTr="00BD4E60">
        <w:tc>
          <w:tcPr>
            <w:tcW w:w="54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7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6457119.077</w:t>
            </w:r>
          </w:p>
        </w:tc>
        <w:tc>
          <w:tcPr>
            <w:tcW w:w="1276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0,0534</w:t>
            </w:r>
          </w:p>
        </w:tc>
        <w:tc>
          <w:tcPr>
            <w:tcW w:w="1418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1160</w:t>
            </w:r>
          </w:p>
        </w:tc>
      </w:tr>
      <w:tr w:rsidR="00B7287B" w:rsidRPr="000D03E9" w:rsidTr="00BD4E60">
        <w:tc>
          <w:tcPr>
            <w:tcW w:w="54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74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6457119.078</w:t>
            </w:r>
          </w:p>
        </w:tc>
        <w:tc>
          <w:tcPr>
            <w:tcW w:w="1276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0,0421</w:t>
            </w:r>
          </w:p>
        </w:tc>
        <w:tc>
          <w:tcPr>
            <w:tcW w:w="1418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920</w:t>
            </w:r>
          </w:p>
        </w:tc>
      </w:tr>
    </w:tbl>
    <w:p w:rsidR="00432148" w:rsidRDefault="00432148" w:rsidP="00432148">
      <w:pPr>
        <w:jc w:val="both"/>
        <w:rPr>
          <w:lang w:val="ro-MO"/>
        </w:rPr>
      </w:pPr>
    </w:p>
    <w:p w:rsidR="00432148" w:rsidRPr="00D5658F" w:rsidRDefault="00432148" w:rsidP="00432148">
      <w:pPr>
        <w:jc w:val="both"/>
        <w:rPr>
          <w:lang w:val="ro-RO"/>
        </w:rPr>
      </w:pPr>
      <w:r>
        <w:rPr>
          <w:lang w:val="ro-MO"/>
        </w:rPr>
        <w:t xml:space="preserve">2. </w:t>
      </w:r>
      <w:r w:rsidRPr="00D5658F">
        <w:rPr>
          <w:lang w:val="ro-RO"/>
        </w:rPr>
        <w:t>Se ex</w:t>
      </w:r>
      <w:r>
        <w:rPr>
          <w:lang w:val="ro-RO"/>
        </w:rPr>
        <w:t>pun la licitație pentru vînzare-cumpărare</w:t>
      </w:r>
      <w:r w:rsidRPr="00D5658F">
        <w:rPr>
          <w:lang w:val="ro-RO"/>
        </w:rPr>
        <w:t xml:space="preserve">  următoarele sectoare de teren, proprietate a UAT Pohorniceni:</w:t>
      </w:r>
    </w:p>
    <w:p w:rsidR="00432148" w:rsidRPr="00432148" w:rsidRDefault="00432148" w:rsidP="00432148">
      <w:pPr>
        <w:jc w:val="both"/>
        <w:rPr>
          <w:sz w:val="16"/>
          <w:szCs w:val="16"/>
          <w:lang w:val="ro-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6"/>
        <w:gridCol w:w="1884"/>
        <w:gridCol w:w="1513"/>
        <w:gridCol w:w="1341"/>
        <w:gridCol w:w="1497"/>
        <w:gridCol w:w="1475"/>
      </w:tblGrid>
      <w:tr w:rsidR="000D03E9" w:rsidRPr="000D03E9" w:rsidTr="00BD4E60">
        <w:tc>
          <w:tcPr>
            <w:tcW w:w="536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Nr. d/o</w:t>
            </w:r>
          </w:p>
        </w:tc>
        <w:tc>
          <w:tcPr>
            <w:tcW w:w="1884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Destinația</w:t>
            </w:r>
            <w:proofErr w:type="spellEnd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bunului</w:t>
            </w:r>
            <w:proofErr w:type="spellEnd"/>
          </w:p>
        </w:tc>
        <w:tc>
          <w:tcPr>
            <w:tcW w:w="1513" w:type="dxa"/>
          </w:tcPr>
          <w:p w:rsid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Nr.</w:t>
            </w:r>
          </w:p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cadastral</w:t>
            </w:r>
          </w:p>
        </w:tc>
        <w:tc>
          <w:tcPr>
            <w:tcW w:w="1341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Suprafața</w:t>
            </w:r>
            <w:proofErr w:type="spellEnd"/>
          </w:p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(ha)</w:t>
            </w:r>
          </w:p>
        </w:tc>
        <w:tc>
          <w:tcPr>
            <w:tcW w:w="1497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Amplasarea</w:t>
            </w:r>
            <w:proofErr w:type="spellEnd"/>
          </w:p>
        </w:tc>
        <w:tc>
          <w:tcPr>
            <w:tcW w:w="1475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Prețul</w:t>
            </w:r>
            <w:proofErr w:type="spellEnd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inițial</w:t>
            </w:r>
            <w:proofErr w:type="spellEnd"/>
          </w:p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(lei)</w:t>
            </w:r>
          </w:p>
        </w:tc>
      </w:tr>
      <w:tr w:rsidR="000D03E9" w:rsidRPr="000D03E9" w:rsidTr="00BD4E60">
        <w:tc>
          <w:tcPr>
            <w:tcW w:w="536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884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6457119.094</w:t>
            </w:r>
          </w:p>
        </w:tc>
        <w:tc>
          <w:tcPr>
            <w:tcW w:w="1341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1497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14000</w:t>
            </w:r>
          </w:p>
        </w:tc>
      </w:tr>
      <w:tr w:rsidR="00B7287B" w:rsidRPr="000D03E9" w:rsidTr="00BD4E60">
        <w:tc>
          <w:tcPr>
            <w:tcW w:w="536" w:type="dxa"/>
          </w:tcPr>
          <w:p w:rsidR="00B7287B" w:rsidRPr="000D03E9" w:rsidRDefault="00B7287B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884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6457119.099</w:t>
            </w:r>
          </w:p>
        </w:tc>
        <w:tc>
          <w:tcPr>
            <w:tcW w:w="1341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0,0854</w:t>
            </w:r>
          </w:p>
        </w:tc>
        <w:tc>
          <w:tcPr>
            <w:tcW w:w="1497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60000</w:t>
            </w:r>
          </w:p>
        </w:tc>
      </w:tr>
      <w:tr w:rsidR="00B7287B" w:rsidRPr="000D03E9" w:rsidTr="00BD4E60">
        <w:tc>
          <w:tcPr>
            <w:tcW w:w="536" w:type="dxa"/>
          </w:tcPr>
          <w:p w:rsidR="00B7287B" w:rsidRPr="000D03E9" w:rsidRDefault="00B7287B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884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6457119.100</w:t>
            </w:r>
          </w:p>
        </w:tc>
        <w:tc>
          <w:tcPr>
            <w:tcW w:w="1341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0,0938</w:t>
            </w:r>
          </w:p>
        </w:tc>
        <w:tc>
          <w:tcPr>
            <w:tcW w:w="1497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B7287B" w:rsidRPr="000D03E9" w:rsidRDefault="00B7287B" w:rsidP="00E5191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66000</w:t>
            </w:r>
          </w:p>
        </w:tc>
      </w:tr>
      <w:tr w:rsidR="00B7287B" w:rsidRPr="000D03E9" w:rsidTr="00BD4E60">
        <w:tc>
          <w:tcPr>
            <w:tcW w:w="536" w:type="dxa"/>
          </w:tcPr>
          <w:p w:rsidR="00B7287B" w:rsidRPr="000D03E9" w:rsidRDefault="00B7287B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1884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6457119.101</w:t>
            </w:r>
          </w:p>
        </w:tc>
        <w:tc>
          <w:tcPr>
            <w:tcW w:w="1341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0,0359</w:t>
            </w:r>
          </w:p>
        </w:tc>
        <w:tc>
          <w:tcPr>
            <w:tcW w:w="1497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25000</w:t>
            </w:r>
          </w:p>
        </w:tc>
      </w:tr>
      <w:tr w:rsidR="00B7287B" w:rsidRPr="000D03E9" w:rsidTr="00BD4E60">
        <w:tc>
          <w:tcPr>
            <w:tcW w:w="536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1884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6457117.083</w:t>
            </w:r>
          </w:p>
        </w:tc>
        <w:tc>
          <w:tcPr>
            <w:tcW w:w="1341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0,0031</w:t>
            </w:r>
          </w:p>
        </w:tc>
        <w:tc>
          <w:tcPr>
            <w:tcW w:w="1497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5606</w:t>
            </w:r>
          </w:p>
        </w:tc>
      </w:tr>
      <w:tr w:rsidR="00B7287B" w:rsidRPr="000D03E9" w:rsidTr="00BD4E60">
        <w:tc>
          <w:tcPr>
            <w:tcW w:w="536" w:type="dxa"/>
          </w:tcPr>
          <w:p w:rsidR="00B7287B" w:rsidRPr="000D03E9" w:rsidRDefault="00B7287B" w:rsidP="000D03E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1884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6457116.101</w:t>
            </w:r>
          </w:p>
        </w:tc>
        <w:tc>
          <w:tcPr>
            <w:tcW w:w="1341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0,0156</w:t>
            </w:r>
          </w:p>
        </w:tc>
        <w:tc>
          <w:tcPr>
            <w:tcW w:w="1497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B7287B" w:rsidRPr="000D03E9" w:rsidRDefault="00B7287B" w:rsidP="00E51919">
            <w:pPr>
              <w:spacing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8000</w:t>
            </w:r>
          </w:p>
        </w:tc>
      </w:tr>
    </w:tbl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7D7515" w:rsidRDefault="007D7515" w:rsidP="0066407D">
      <w:pPr>
        <w:jc w:val="both"/>
        <w:rPr>
          <w:sz w:val="16"/>
          <w:szCs w:val="16"/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t>3</w:t>
      </w:r>
      <w:r w:rsidR="0066407D">
        <w:rPr>
          <w:lang w:val="ro-RO"/>
        </w:rPr>
        <w:t>.</w:t>
      </w:r>
      <w:r w:rsidR="0052770A">
        <w:rPr>
          <w:lang w:val="ro-RO"/>
        </w:rPr>
        <w:t xml:space="preserve"> Se aprobă textul comunicatului informativ, privind desfășurarea licitației, conform anexei.</w:t>
      </w:r>
    </w:p>
    <w:p w:rsidR="0052770A" w:rsidRDefault="0052770A" w:rsidP="0066407D">
      <w:pPr>
        <w:jc w:val="both"/>
        <w:rPr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t xml:space="preserve">4. </w:t>
      </w:r>
      <w:r w:rsidR="0052770A">
        <w:rPr>
          <w:lang w:val="ro-RO"/>
        </w:rPr>
        <w:t>Se obligă Primăria Pohorniceni să publice în Monitorul Oficial al Republicii Moldova comunicatul informativ  privind desfășurarea licitației.</w:t>
      </w:r>
    </w:p>
    <w:p w:rsidR="0052770A" w:rsidRDefault="0052770A" w:rsidP="0066407D">
      <w:pPr>
        <w:jc w:val="both"/>
        <w:rPr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lastRenderedPageBreak/>
        <w:t>5</w:t>
      </w:r>
      <w:r w:rsidR="0052770A">
        <w:rPr>
          <w:lang w:val="ro-RO"/>
        </w:rPr>
        <w:t>. Comisia de licitație își va exercita atribuțiile, în comformitate cu legislația în vigoare.</w:t>
      </w:r>
    </w:p>
    <w:p w:rsidR="001B6D64" w:rsidRPr="001B6D64" w:rsidRDefault="001B6D64" w:rsidP="0066407D">
      <w:pPr>
        <w:jc w:val="both"/>
        <w:rPr>
          <w:sz w:val="16"/>
          <w:szCs w:val="16"/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t>6</w:t>
      </w:r>
      <w:r w:rsidR="0052770A">
        <w:rPr>
          <w:lang w:val="ro-RO"/>
        </w:rPr>
        <w:t>. Se împuternicește, dl Ianec Corobciuc, primarul satului Pohorniceni</w:t>
      </w:r>
      <w:r w:rsidR="00895BE6">
        <w:rPr>
          <w:lang w:val="ro-RO"/>
        </w:rPr>
        <w:t>, de a încheia contractele de arendă</w:t>
      </w:r>
      <w:r>
        <w:rPr>
          <w:lang w:val="ro-RO"/>
        </w:rPr>
        <w:t xml:space="preserve"> </w:t>
      </w:r>
      <w:r w:rsidR="00AF2DEA">
        <w:rPr>
          <w:lang w:val="ro-RO"/>
        </w:rPr>
        <w:t>sau</w:t>
      </w:r>
      <w:r>
        <w:rPr>
          <w:lang w:val="ro-RO"/>
        </w:rPr>
        <w:t xml:space="preserve"> </w:t>
      </w:r>
      <w:r w:rsidR="00AF2DEA">
        <w:rPr>
          <w:lang w:val="ro-RO"/>
        </w:rPr>
        <w:t>vînzare-cumpărare</w:t>
      </w:r>
      <w:r w:rsidR="00895BE6">
        <w:rPr>
          <w:lang w:val="ro-RO"/>
        </w:rPr>
        <w:t xml:space="preserve"> cu cîștigătorii licitației.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B7287B" w:rsidP="0066407D">
      <w:pPr>
        <w:jc w:val="both"/>
        <w:rPr>
          <w:lang w:val="ro-RO"/>
        </w:rPr>
      </w:pPr>
      <w:r>
        <w:rPr>
          <w:lang w:val="ro-RO"/>
        </w:rPr>
        <w:t>7</w:t>
      </w:r>
      <w:r w:rsidR="0066407D">
        <w:rPr>
          <w:lang w:val="ro-RO"/>
        </w:rPr>
        <w:t>. Controlul asupra îndeplinirii prezentei decizii se pune pe seama primarului</w:t>
      </w:r>
      <w:r w:rsidR="00DF5EFE">
        <w:rPr>
          <w:lang w:val="ro-RO"/>
        </w:rPr>
        <w:t xml:space="preserve"> satului Pohorniceni</w:t>
      </w:r>
      <w:r w:rsidR="0066407D">
        <w:rPr>
          <w:lang w:val="ro-RO"/>
        </w:rPr>
        <w:t>, dl. Ianec Corobciuc.</w:t>
      </w:r>
    </w:p>
    <w:p w:rsidR="0066407D" w:rsidRDefault="0066407D" w:rsidP="0066407D">
      <w:pPr>
        <w:jc w:val="both"/>
        <w:rPr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761160" w:rsidRDefault="00761160" w:rsidP="0066407D">
      <w:pPr>
        <w:jc w:val="both"/>
        <w:rPr>
          <w:lang w:val="ro-RO"/>
        </w:rPr>
      </w:pPr>
    </w:p>
    <w:p w:rsidR="0066407D" w:rsidRPr="00EE4026" w:rsidRDefault="0066407D" w:rsidP="0066407D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 w:rsidSect="005277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0B32FF"/>
    <w:rsid w:val="000D03E9"/>
    <w:rsid w:val="001B6D64"/>
    <w:rsid w:val="00206D9E"/>
    <w:rsid w:val="00211EE0"/>
    <w:rsid w:val="002B53A8"/>
    <w:rsid w:val="002F060E"/>
    <w:rsid w:val="00335A86"/>
    <w:rsid w:val="00364055"/>
    <w:rsid w:val="003B77D0"/>
    <w:rsid w:val="003E563C"/>
    <w:rsid w:val="00432148"/>
    <w:rsid w:val="00480DA4"/>
    <w:rsid w:val="004A5EAC"/>
    <w:rsid w:val="004D3290"/>
    <w:rsid w:val="00504632"/>
    <w:rsid w:val="0052770A"/>
    <w:rsid w:val="006421F4"/>
    <w:rsid w:val="0066407D"/>
    <w:rsid w:val="006730F2"/>
    <w:rsid w:val="00733F09"/>
    <w:rsid w:val="00761160"/>
    <w:rsid w:val="00787B6E"/>
    <w:rsid w:val="007D7515"/>
    <w:rsid w:val="008109AA"/>
    <w:rsid w:val="008429D4"/>
    <w:rsid w:val="008816A7"/>
    <w:rsid w:val="00895BE6"/>
    <w:rsid w:val="008C5777"/>
    <w:rsid w:val="00912952"/>
    <w:rsid w:val="009F353B"/>
    <w:rsid w:val="00A12AF8"/>
    <w:rsid w:val="00AB6002"/>
    <w:rsid w:val="00AF2DEA"/>
    <w:rsid w:val="00B214E9"/>
    <w:rsid w:val="00B241D3"/>
    <w:rsid w:val="00B7287B"/>
    <w:rsid w:val="00C2255A"/>
    <w:rsid w:val="00C23EDF"/>
    <w:rsid w:val="00C80B45"/>
    <w:rsid w:val="00D11CE6"/>
    <w:rsid w:val="00DA4F09"/>
    <w:rsid w:val="00DB05D7"/>
    <w:rsid w:val="00DF5EFE"/>
    <w:rsid w:val="00E30F6B"/>
    <w:rsid w:val="00EE4026"/>
    <w:rsid w:val="00EF6F94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2021-04-26T14:30:00Z</cp:lastPrinted>
  <dcterms:created xsi:type="dcterms:W3CDTF">2019-04-12T07:46:00Z</dcterms:created>
  <dcterms:modified xsi:type="dcterms:W3CDTF">2021-04-26T15:07:00Z</dcterms:modified>
</cp:coreProperties>
</file>