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6A" w:rsidRPr="005C616A" w:rsidRDefault="005C616A" w:rsidP="005C616A">
      <w:pPr>
        <w:pBdr>
          <w:bottom w:val="dotted" w:sz="6" w:space="0" w:color="42B3E5"/>
        </w:pBdr>
        <w:shd w:val="clear" w:color="auto" w:fill="F5FFFA"/>
        <w:spacing w:after="0" w:line="300" w:lineRule="atLeast"/>
        <w:jc w:val="right"/>
        <w:outlineLvl w:val="3"/>
        <w:rPr>
          <w:rFonts w:ascii="Times New Roman" w:eastAsia="Times New Roman" w:hAnsi="Times New Roman" w:cs="Times New Roman"/>
          <w:bCs/>
          <w:color w:val="545454"/>
          <w:lang w:val="en-US" w:eastAsia="ru-RU"/>
        </w:rPr>
      </w:pPr>
      <w:bookmarkStart w:id="0" w:name="_GoBack"/>
      <w:proofErr w:type="spellStart"/>
      <w:r w:rsidRPr="005C616A">
        <w:rPr>
          <w:rFonts w:ascii="Times New Roman" w:eastAsia="Times New Roman" w:hAnsi="Times New Roman" w:cs="Times New Roman"/>
          <w:bCs/>
          <w:color w:val="545454"/>
          <w:lang w:val="en-US" w:eastAsia="ru-RU"/>
        </w:rPr>
        <w:t>Anexa</w:t>
      </w:r>
      <w:proofErr w:type="spellEnd"/>
      <w:r w:rsidRPr="005C616A">
        <w:rPr>
          <w:rFonts w:ascii="Times New Roman" w:eastAsia="Times New Roman" w:hAnsi="Times New Roman" w:cs="Times New Roman"/>
          <w:bCs/>
          <w:color w:val="545454"/>
          <w:lang w:val="en-US" w:eastAsia="ru-RU"/>
        </w:rPr>
        <w:t xml:space="preserve"> Nr. 2</w:t>
      </w:r>
      <w:bookmarkEnd w:id="0"/>
    </w:p>
    <w:p w:rsidR="00096B9C" w:rsidRDefault="00FF14C7" w:rsidP="00096B9C">
      <w:pPr>
        <w:pBdr>
          <w:bottom w:val="dotted" w:sz="6" w:space="0" w:color="42B3E5"/>
        </w:pBdr>
        <w:shd w:val="clear" w:color="auto" w:fill="F5FFFA"/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</w:pPr>
      <w:r w:rsidRPr="00FF14C7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PRIMĂRIA s. POHORNICENI, r-</w:t>
      </w:r>
      <w:proofErr w:type="spellStart"/>
      <w:r w:rsidRPr="00FF14C7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nul</w:t>
      </w:r>
      <w:proofErr w:type="spellEnd"/>
      <w:r w:rsidRPr="00FF14C7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ORHEI</w:t>
      </w:r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</w:p>
    <w:p w:rsidR="00096B9C" w:rsidRDefault="00FF14C7" w:rsidP="00096B9C">
      <w:pPr>
        <w:pBdr>
          <w:bottom w:val="dotted" w:sz="6" w:space="0" w:color="42B3E5"/>
        </w:pBdr>
        <w:shd w:val="clear" w:color="auto" w:fill="F5FFFA"/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anunță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concurs </w:t>
      </w:r>
      <w:proofErr w:type="spellStart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funcției</w:t>
      </w:r>
      <w:proofErr w:type="spellEnd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vacante</w:t>
      </w:r>
      <w:proofErr w:type="spellEnd"/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de</w:t>
      </w:r>
    </w:p>
    <w:p w:rsidR="00FF14C7" w:rsidRPr="00FF14C7" w:rsidRDefault="00FF14C7" w:rsidP="00096B9C">
      <w:pPr>
        <w:pBdr>
          <w:bottom w:val="dotted" w:sz="6" w:space="0" w:color="42B3E5"/>
        </w:pBdr>
        <w:shd w:val="clear" w:color="auto" w:fill="F5FFFA"/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CONTABIL-ȘEF</w:t>
      </w:r>
    </w:p>
    <w:p w:rsidR="00FF14C7" w:rsidRDefault="006E4339" w:rsidP="006E4339">
      <w:pPr>
        <w:shd w:val="clear" w:color="auto" w:fill="F5FFFA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Scopul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general al 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funcţiei</w:t>
      </w:r>
      <w:proofErr w:type="spellEnd"/>
      <w:proofErr w:type="gram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Asigurarea</w:t>
      </w:r>
      <w:proofErr w:type="spellEnd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organizării</w:t>
      </w:r>
      <w:proofErr w:type="spellEnd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corecte</w:t>
      </w:r>
      <w:proofErr w:type="spellEnd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 </w:t>
      </w:r>
      <w:proofErr w:type="spellStart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evidenţei</w:t>
      </w:r>
      <w:proofErr w:type="spellEnd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contabile</w:t>
      </w:r>
      <w:proofErr w:type="spellEnd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executării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local</w:t>
      </w:r>
    </w:p>
    <w:p w:rsidR="006E4339" w:rsidRPr="006E4339" w:rsidRDefault="006E4339" w:rsidP="00FF14C7">
      <w:pPr>
        <w:shd w:val="clear" w:color="auto" w:fill="F5FFFA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Sarcinile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bază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 </w:t>
      </w:r>
      <w:r w:rsidR="00FF14C7" w:rsidRP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(</w:t>
      </w:r>
      <w:proofErr w:type="spellStart"/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direcțiile</w:t>
      </w:r>
      <w:proofErr w:type="spellEnd"/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principale</w:t>
      </w:r>
      <w:proofErr w:type="spellEnd"/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activitate</w:t>
      </w:r>
      <w:proofErr w:type="spellEnd"/>
      <w:r w:rsidR="00FF1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)</w:t>
      </w:r>
      <w:r w:rsid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</w:t>
      </w:r>
    </w:p>
    <w:p w:rsidR="006E4339" w:rsidRPr="006E4339" w:rsidRDefault="00096B9C" w:rsidP="00FF14C7">
      <w:pPr>
        <w:numPr>
          <w:ilvl w:val="0"/>
          <w:numId w:val="3"/>
        </w:numPr>
        <w:shd w:val="clear" w:color="auto" w:fill="F5FFFA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controlului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preventiv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asupra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întocmirii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corecte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timp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documentelor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legalității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operațiunilor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efectuate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6E4339" w:rsidRDefault="00096B9C" w:rsidP="00FF14C7">
      <w:pPr>
        <w:numPr>
          <w:ilvl w:val="0"/>
          <w:numId w:val="3"/>
        </w:numPr>
        <w:shd w:val="clear" w:color="auto" w:fill="F5FFFA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asupra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utilizării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eficiente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mijloacelor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destinației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limitele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bugetare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aprobate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precum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asupra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integrității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resurselor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bănești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valorilor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materiale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096B9C" w:rsidRDefault="006E4339" w:rsidP="00FF14C7">
      <w:pPr>
        <w:numPr>
          <w:ilvl w:val="0"/>
          <w:numId w:val="3"/>
        </w:numPr>
        <w:shd w:val="clear" w:color="auto" w:fill="F5FFFA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Calcularea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achitarea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timp</w:t>
      </w:r>
      <w:proofErr w:type="spellEnd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salariilor</w:t>
      </w:r>
      <w:proofErr w:type="spellEnd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indemnizațiilor</w:t>
      </w:r>
      <w:proofErr w:type="spellEnd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altor</w:t>
      </w:r>
      <w:proofErr w:type="spellEnd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plăți</w:t>
      </w:r>
      <w:proofErr w:type="spellEnd"/>
      <w:r w:rsidR="00096B9C" w:rsidRP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ale</w:t>
      </w: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angajaţilor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096B9C" w:rsidRPr="006E4339" w:rsidRDefault="006E4339" w:rsidP="00096B9C">
      <w:pPr>
        <w:numPr>
          <w:ilvl w:val="0"/>
          <w:numId w:val="3"/>
        </w:numPr>
        <w:shd w:val="clear" w:color="auto" w:fill="F5FFFA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Efectuarea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timp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decontărilor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atît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personae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fizice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cît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juridice</w:t>
      </w:r>
      <w:proofErr w:type="spellEnd"/>
      <w:r w:rsidR="00096B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6E4339" w:rsidRDefault="006E4339" w:rsidP="00FF14C7">
      <w:pPr>
        <w:numPr>
          <w:ilvl w:val="0"/>
          <w:numId w:val="3"/>
        </w:numPr>
        <w:shd w:val="clear" w:color="auto" w:fill="F5FFFA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Întocmirea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prezentarea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termenele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dărilor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seamă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contabile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statistice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  <w:proofErr w:type="gramEnd"/>
    </w:p>
    <w:p w:rsidR="006E4339" w:rsidRPr="00AB2534" w:rsidRDefault="006E4339" w:rsidP="00AB2534">
      <w:pPr>
        <w:numPr>
          <w:ilvl w:val="0"/>
          <w:numId w:val="3"/>
        </w:numPr>
        <w:shd w:val="clear" w:color="auto" w:fill="F5FFFA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Păstrarea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documentelor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contabile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registrelor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evidenţă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rapoartelor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devizelor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cheltuieli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predarea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arhivă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modul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  <w:proofErr w:type="gramEnd"/>
    </w:p>
    <w:p w:rsidR="006E4339" w:rsidRPr="006E4339" w:rsidRDefault="006E4339" w:rsidP="006E4339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</w:pP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Condiţiile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participare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la concurs: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a) </w:t>
      </w: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deţine</w:t>
      </w:r>
      <w:proofErr w:type="spellEnd"/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cetăţenia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Republicii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Moldova;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b) </w:t>
      </w: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posedă</w:t>
      </w:r>
      <w:proofErr w:type="spellEnd"/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limba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română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limbile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oficiale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comunicare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interetnică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vorbite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teritoriul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respectiv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limitele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c) </w:t>
      </w:r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are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capacitate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deplină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exerciţiu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d) </w:t>
      </w:r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nu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împlinit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vîrsta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63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e) </w:t>
      </w: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aptă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din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punct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vedere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stării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sănătăţii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exercitarea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funcţiei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conform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certificatului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medical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eliberat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instituţia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medicală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abilitată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dacă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funcţia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respectivă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sînt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cerinţe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speciale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sănătate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f) </w:t>
      </w:r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are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studiile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necesare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prevăzute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funcţia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respectivă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g) </w:t>
      </w: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ultimii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5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nu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fost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destituită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dintr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-o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funcţie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conform art.64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alin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.(1)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lit.a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)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b)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nu i-a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încetat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contractul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individual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muncă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motive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disciplinare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h) </w:t>
      </w:r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nu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are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antecedente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penale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nestinse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infracţiuni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săvîrşite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intenţie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FF14C7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i) nu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privată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dreptul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ocupa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anumite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funcţii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exercita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o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anumită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activitate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pedeapsă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bază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complementară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urmare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sentinţei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judecătoreşti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definitive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care s-a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dispus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această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interdicţie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6E4339" w:rsidRDefault="006E4339" w:rsidP="006E4339">
      <w:pPr>
        <w:shd w:val="clear" w:color="auto" w:fill="F5FFFA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j) </w:t>
      </w:r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nu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are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interdicţia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a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ocupa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o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funcţie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demnitate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derivă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dintr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-un act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constatare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Autorit</w:t>
      </w:r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ăţii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Naţionale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Integritate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</w:p>
    <w:p w:rsidR="006E4339" w:rsidRPr="006E4339" w:rsidRDefault="006E4339" w:rsidP="006E4339">
      <w:pPr>
        <w:pBdr>
          <w:bottom w:val="dotted" w:sz="6" w:space="0" w:color="42B3E5"/>
        </w:pBdr>
        <w:shd w:val="clear" w:color="auto" w:fill="F5FFFA"/>
        <w:spacing w:before="150" w:after="150" w:line="300" w:lineRule="atLeast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</w:pP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Cerinţe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specifice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pentru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>participare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 w:eastAsia="ru-RU"/>
        </w:rPr>
        <w:t xml:space="preserve"> la concurs:</w:t>
      </w:r>
    </w:p>
    <w:p w:rsidR="00AB2534" w:rsidRDefault="006E4339" w:rsidP="006E4339">
      <w:pPr>
        <w:shd w:val="clear" w:color="auto" w:fill="F5FFFA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Studii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 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Superioare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medii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</w:t>
      </w:r>
      <w:proofErr w:type="gram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specialitate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licenţă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echivalente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preferabil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domeniul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contabilităţii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economie</w:t>
      </w:r>
      <w:proofErr w:type="spell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AB2534" w:rsidRDefault="00AB2534" w:rsidP="006E4339">
      <w:pPr>
        <w:shd w:val="clear" w:color="auto" w:fill="F5FFFA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6E4339" w:rsidRPr="006E4339" w:rsidRDefault="00AB2534" w:rsidP="006E4339">
      <w:pPr>
        <w:shd w:val="clear" w:color="auto" w:fill="F5FFFA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AB25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Experință</w:t>
      </w:r>
      <w:proofErr w:type="spellEnd"/>
      <w:r w:rsidRPr="00AB25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AB25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profesională</w:t>
      </w:r>
      <w:proofErr w:type="spellEnd"/>
      <w:r w:rsidRPr="00AB25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minimum 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experință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profesională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domeniu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preferabil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1 an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experiență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serviciul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public</w:t>
      </w:r>
      <w:r w:rsidR="006E4339"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 </w:t>
      </w:r>
      <w:r w:rsidR="006E4339"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="006E4339"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Cunoştinţe</w:t>
      </w:r>
      <w:proofErr w:type="spellEnd"/>
      <w:r w:rsidR="006E4339"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</w:p>
    <w:p w:rsidR="006E4339" w:rsidRPr="006E4339" w:rsidRDefault="00AB2534" w:rsidP="006E4339">
      <w:pPr>
        <w:numPr>
          <w:ilvl w:val="0"/>
          <w:numId w:val="2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Administrație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6E4339" w:rsidRDefault="00AB2534" w:rsidP="006E4339">
      <w:pPr>
        <w:numPr>
          <w:ilvl w:val="0"/>
          <w:numId w:val="2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Contabilitatea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sectorului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public</w:t>
      </w:r>
      <w:r w:rsidR="006E4339"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AB2534" w:rsidRDefault="00AB2534" w:rsidP="006E4339">
      <w:pPr>
        <w:numPr>
          <w:ilvl w:val="0"/>
          <w:numId w:val="2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Legislația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muncii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domeniu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;</w:t>
      </w:r>
    </w:p>
    <w:p w:rsidR="006E4339" w:rsidRPr="006E4339" w:rsidRDefault="00AB2534" w:rsidP="006E4339">
      <w:pPr>
        <w:numPr>
          <w:ilvl w:val="0"/>
          <w:numId w:val="2"/>
        </w:numPr>
        <w:shd w:val="clear" w:color="auto" w:fill="F5FFFA"/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Managmentul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resurselor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umane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  <w:proofErr w:type="gramEnd"/>
    </w:p>
    <w:p w:rsidR="006E4339" w:rsidRDefault="006E4339" w:rsidP="006E4339">
      <w:pPr>
        <w:shd w:val="clear" w:color="auto" w:fill="F5FFFA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lastRenderedPageBreak/>
        <w:t>Abilităţi</w:t>
      </w:r>
      <w:proofErr w:type="spellEnd"/>
      <w:r w:rsidR="00AB25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lucru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informaţia</w:t>
      </w:r>
      <w:proofErr w:type="spell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planificare</w:t>
      </w:r>
      <w:proofErr w:type="spell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analiză</w:t>
      </w:r>
      <w:proofErr w:type="spell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sinteză</w:t>
      </w:r>
      <w:proofErr w:type="spell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executarea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bugetu</w:t>
      </w:r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lui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elaborare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documentelor</w:t>
      </w:r>
      <w:proofErr w:type="spellEnd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contabile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motivare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mobilizare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comunicare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eficientă</w:t>
      </w:r>
      <w:proofErr w:type="spellEnd"/>
      <w:r w:rsidRPr="00FF14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r w:rsidR="00AB2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management.</w:t>
      </w:r>
      <w:proofErr w:type="gram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 </w:t>
      </w: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Atitudini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/</w:t>
      </w:r>
      <w:proofErr w:type="spellStart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comportamente</w:t>
      </w:r>
      <w:proofErr w:type="spellEnd"/>
      <w:r w:rsidRPr="006E43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:</w:t>
      </w:r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respect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faţă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oameni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incoruptibilitate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spirit de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iniţiativă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diplomaţie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creativitate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flexibilitate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disciplină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punctualitate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responsabilitate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tendinţă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spre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dezvoltare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profesională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continuă</w:t>
      </w:r>
      <w:proofErr w:type="spellEnd"/>
      <w:r w:rsidRPr="006E43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AB2534" w:rsidRDefault="00AB2534" w:rsidP="006E4339">
      <w:pPr>
        <w:shd w:val="clear" w:color="auto" w:fill="F5FFFA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B2534" w:rsidRDefault="00AB2534" w:rsidP="00AB2534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2534">
        <w:rPr>
          <w:rFonts w:ascii="Times New Roman" w:hAnsi="Times New Roman" w:cs="Times New Roman"/>
          <w:b/>
          <w:sz w:val="24"/>
          <w:szCs w:val="24"/>
          <w:lang w:val="fr-FR"/>
        </w:rPr>
        <w:t>Dosarul de concurs</w:t>
      </w:r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>cuprinde</w:t>
      </w:r>
      <w:proofErr w:type="spellEnd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>acte</w:t>
      </w:r>
      <w:proofErr w:type="spellEnd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B2534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Pr="00AB2534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AB2534" w:rsidRDefault="00AB2534" w:rsidP="00AB25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AB2534">
        <w:rPr>
          <w:rFonts w:ascii="Times New Roman" w:hAnsi="Times New Roman" w:cs="Times New Roman"/>
          <w:sz w:val="24"/>
          <w:szCs w:val="24"/>
          <w:lang w:val="fr-FR"/>
        </w:rPr>
        <w:t>Formularul de participare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1 </w:t>
      </w:r>
      <w:r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AB2534" w:rsidRDefault="00AB2534" w:rsidP="00AB25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Copia buletinului de identitate ;</w:t>
      </w:r>
    </w:p>
    <w:p w:rsidR="00AB2534" w:rsidRDefault="00AB2534" w:rsidP="00AB25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Copiile diplomelor de studii și ale certificatelor de absolvire a cursurilor de perfecționare profesională și/sau specializare</w:t>
      </w:r>
      <w:r w:rsidR="00900447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900447" w:rsidRDefault="00900447" w:rsidP="00AB25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Documente care confirmă experiența de muncă (copia carnetului de muncă) ;</w:t>
      </w:r>
    </w:p>
    <w:p w:rsidR="00900447" w:rsidRDefault="00900447" w:rsidP="00AB25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Cazierul judiciar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2 </w:t>
      </w:r>
      <w:r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900447" w:rsidRDefault="00900447" w:rsidP="00AB25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Documente care atestă prestarea voluntariatului – în cazul în care candidatul consideră necesar.</w:t>
      </w:r>
    </w:p>
    <w:p w:rsidR="00900447" w:rsidRDefault="00900447" w:rsidP="0090044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900447" w:rsidRDefault="00900447" w:rsidP="0090044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900447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Formularul de participare poate fi găsit pe pagina web : </w:t>
      </w:r>
      <w:hyperlink r:id="rId6" w:history="1">
        <w:r w:rsidRPr="00DC433F">
          <w:rPr>
            <w:rStyle w:val="a4"/>
            <w:rFonts w:ascii="Times New Roman" w:hAnsi="Times New Roman" w:cs="Times New Roman"/>
            <w:sz w:val="24"/>
            <w:szCs w:val="24"/>
            <w:lang w:val="fr-FR"/>
          </w:rPr>
          <w:t>www.cancelaria.gov.md</w:t>
        </w:r>
      </w:hyperlink>
      <w:r>
        <w:rPr>
          <w:rFonts w:ascii="Times New Roman" w:hAnsi="Times New Roman" w:cs="Times New Roman"/>
          <w:sz w:val="24"/>
          <w:szCs w:val="24"/>
          <w:lang w:val="fr-FR"/>
        </w:rPr>
        <w:t xml:space="preserve"> la rubrica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ro-MO"/>
        </w:rPr>
        <w:t>Funcții vacante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900447" w:rsidRDefault="00900447" w:rsidP="0090044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înlocuit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candidatul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concurs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maximum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la care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învingător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sub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sancțiunea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neemiterii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6C3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0447" w:rsidRDefault="00900447" w:rsidP="0090044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00447" w:rsidRPr="00900447" w:rsidRDefault="00900447" w:rsidP="00900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00447">
        <w:rPr>
          <w:rFonts w:ascii="Times New Roman" w:hAnsi="Times New Roman" w:cs="Times New Roman"/>
          <w:b/>
          <w:sz w:val="24"/>
          <w:szCs w:val="24"/>
          <w:lang w:val="fr-FR"/>
        </w:rPr>
        <w:t xml:space="preserve">Persoanele interesate pot depune dosarul personal </w:t>
      </w:r>
      <w:r w:rsidRPr="0090044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sau prin reprezentant</w:t>
      </w:r>
      <w:r w:rsidRPr="00900447">
        <w:rPr>
          <w:rFonts w:ascii="Times New Roman" w:hAnsi="Times New Roman" w:cs="Times New Roman"/>
          <w:b/>
          <w:sz w:val="24"/>
          <w:szCs w:val="24"/>
          <w:lang w:val="fr-FR"/>
        </w:rPr>
        <w:t>/prin poştă/prin e-mail.</w:t>
      </w:r>
    </w:p>
    <w:p w:rsidR="00900447" w:rsidRPr="00900447" w:rsidRDefault="00900447" w:rsidP="009004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2534" w:rsidRPr="00900447" w:rsidRDefault="00900447" w:rsidP="00900447">
      <w:pPr>
        <w:shd w:val="clear" w:color="auto" w:fill="F5FFFA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fr-FR" w:eastAsia="ru-RU"/>
        </w:rPr>
      </w:pPr>
      <w:r w:rsidRPr="009004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fr-FR" w:eastAsia="ru-RU"/>
        </w:rPr>
        <w:t>Termenul –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fr-FR" w:eastAsia="ru-RU"/>
        </w:rPr>
        <w:t xml:space="preserve"> </w:t>
      </w:r>
      <w:r w:rsidRPr="009004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fr-FR" w:eastAsia="ru-RU"/>
        </w:rPr>
        <w:t>limită de depunere a dosarului de concurs – 26.10.2020, orele 17:00</w:t>
      </w:r>
    </w:p>
    <w:p w:rsidR="006E4339" w:rsidRPr="00FF14C7" w:rsidRDefault="006E4339" w:rsidP="006E43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5FFFA"/>
          <w:lang w:val="en-US" w:eastAsia="ru-RU"/>
        </w:rPr>
      </w:pPr>
    </w:p>
    <w:p w:rsidR="006E4339" w:rsidRPr="00FF14C7" w:rsidRDefault="006E4339" w:rsidP="006E433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shd w:val="clear" w:color="auto" w:fill="F5FFFA"/>
          <w:lang w:val="ro-MO" w:eastAsia="ru-RU"/>
        </w:rPr>
      </w:pPr>
      <w:proofErr w:type="spellStart"/>
      <w:r w:rsidRPr="00FF14C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shd w:val="clear" w:color="auto" w:fill="F5FFFA"/>
          <w:lang w:val="en-US" w:eastAsia="ru-RU"/>
        </w:rPr>
        <w:t>Bibliografia</w:t>
      </w:r>
      <w:proofErr w:type="spellEnd"/>
      <w:r w:rsidRPr="00FF14C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u w:val="single"/>
          <w:shd w:val="clear" w:color="auto" w:fill="F5FFFA"/>
          <w:lang w:val="ro-MO" w:eastAsia="ru-RU"/>
        </w:rPr>
        <w:t xml:space="preserve"> concursului</w:t>
      </w:r>
    </w:p>
    <w:p w:rsidR="006E4339" w:rsidRPr="00FF14C7" w:rsidRDefault="006E4339" w:rsidP="006E43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5FFFA"/>
          <w:lang w:val="en-US" w:eastAsia="ru-RU"/>
        </w:rPr>
      </w:pPr>
    </w:p>
    <w:p w:rsidR="00FF14C7" w:rsidRPr="00006C37" w:rsidRDefault="00B67B28" w:rsidP="00B67B28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Constituția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Republicii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Moldova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nr.158-XVI din 4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iulie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2008 cu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publică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şi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statutul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funcţionarului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public;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nr.155 din 21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iulie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2011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pentru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aprobarea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Clasificatorului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unic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al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funcţiilor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publice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 </w:t>
      </w:r>
      <w:proofErr w:type="gram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199  din  16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iulie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2010 cu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statutul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persoanelor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cu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demnitate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publică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nr.25-XVI din 22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februarie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2008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privind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Codul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conduită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funcţionarului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public;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nr.16-XVI din 15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februarie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2008 cu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conflictul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interese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nr.1264-XV din 19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iulie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2002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privind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declararea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şi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controlul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veniturilor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şi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proprietăţii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demnitarilor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stat,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judecătorilor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procurorilor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funcţionarilor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publici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şi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unor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persoane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cu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conducere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nr.90-XVI din 25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aprilie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2008 cu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prevenirea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şi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combaterea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corupţiei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</w:t>
      </w:r>
      <w:proofErr w:type="gram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270/2018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privind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sistemul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unitar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de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salarizare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sectorul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bugetar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nr.239-XVI din 13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noiembrie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2008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privind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transparenţa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în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procesul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decizional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       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nr.397-XV din 16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octombrie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2003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privind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finanţele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publice</w:t>
      </w:r>
      <w:proofErr w:type="spellEnd"/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locale;</w:t>
      </w:r>
      <w:r w:rsidR="006E4339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-       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 1585/1998 cu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asigurarea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obigatorie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asistență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medicală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</w:p>
    <w:p w:rsidR="00006C37" w:rsidRPr="00006C37" w:rsidRDefault="00006C37" w:rsidP="00B67B28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489/1999 cu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sistemul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public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asigurări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sociale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</w:p>
    <w:p w:rsidR="00006C37" w:rsidRPr="00006C37" w:rsidRDefault="00006C37" w:rsidP="00B67B28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1593/2002 cu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mărimea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modul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termenele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achitare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primelor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asigurare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obligatory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asistență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medicală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;</w:t>
      </w:r>
    </w:p>
    <w:p w:rsidR="00006C37" w:rsidRPr="00B67B28" w:rsidRDefault="00006C37" w:rsidP="00B67B28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181/2014 cu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finanțele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responsabilității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bugetar-fiscale</w:t>
      </w:r>
      <w:proofErr w:type="spellEnd"/>
    </w:p>
    <w:p w:rsidR="00FF14C7" w:rsidRDefault="006E4339" w:rsidP="00B67B28">
      <w:pPr>
        <w:pStyle w:val="a3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</w:t>
      </w:r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ul</w:t>
      </w:r>
      <w:proofErr w:type="spellEnd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</w:t>
      </w:r>
      <w:r w:rsidR="00FF14C7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iscal al </w:t>
      </w:r>
      <w:proofErr w:type="spellStart"/>
      <w:r w:rsidR="00FF14C7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Republicii</w:t>
      </w:r>
      <w:proofErr w:type="spellEnd"/>
      <w:r w:rsidR="00FF14C7"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Moldova</w:t>
      </w:r>
    </w:p>
    <w:p w:rsidR="00B67B28" w:rsidRPr="00B67B28" w:rsidRDefault="00B67B28" w:rsidP="00B67B28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06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al </w:t>
      </w:r>
      <w:proofErr w:type="spellStart"/>
      <w:r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Republicii</w:t>
      </w:r>
      <w:proofErr w:type="spellEnd"/>
      <w:r w:rsidRPr="00B67B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Moldova</w:t>
      </w:r>
    </w:p>
    <w:sectPr w:rsidR="00B67B28" w:rsidRPr="00B67B28" w:rsidSect="005C616A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7324"/>
    <w:multiLevelType w:val="multilevel"/>
    <w:tmpl w:val="E16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E6CCC"/>
    <w:multiLevelType w:val="multilevel"/>
    <w:tmpl w:val="397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20B5F"/>
    <w:multiLevelType w:val="hybridMultilevel"/>
    <w:tmpl w:val="BA305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43CA0"/>
    <w:multiLevelType w:val="hybridMultilevel"/>
    <w:tmpl w:val="732283DA"/>
    <w:lvl w:ilvl="0" w:tplc="D02A7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333333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56723"/>
    <w:multiLevelType w:val="multilevel"/>
    <w:tmpl w:val="E8A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60DE0"/>
    <w:multiLevelType w:val="multilevel"/>
    <w:tmpl w:val="EFA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72C8E"/>
    <w:multiLevelType w:val="multilevel"/>
    <w:tmpl w:val="0E4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75848"/>
    <w:multiLevelType w:val="multilevel"/>
    <w:tmpl w:val="066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C57908"/>
    <w:multiLevelType w:val="multilevel"/>
    <w:tmpl w:val="ED60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C477C1"/>
    <w:multiLevelType w:val="multilevel"/>
    <w:tmpl w:val="F65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70067"/>
    <w:multiLevelType w:val="multilevel"/>
    <w:tmpl w:val="3EA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  <w:lvlOverride w:ilvl="0">
      <w:startOverride w:val="2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37"/>
    <w:rsid w:val="00006C37"/>
    <w:rsid w:val="00096B9C"/>
    <w:rsid w:val="005C616A"/>
    <w:rsid w:val="006E3D37"/>
    <w:rsid w:val="006E4339"/>
    <w:rsid w:val="00900447"/>
    <w:rsid w:val="00AB2534"/>
    <w:rsid w:val="00B67B28"/>
    <w:rsid w:val="00CF5A49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0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0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074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40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ncelaria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2020-09-29T05:37:00Z</dcterms:created>
  <dcterms:modified xsi:type="dcterms:W3CDTF">2020-09-29T14:58:00Z</dcterms:modified>
</cp:coreProperties>
</file>