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D534D9" w:rsidTr="00814DF5">
        <w:trPr>
          <w:trHeight w:val="1402"/>
        </w:trPr>
        <w:tc>
          <w:tcPr>
            <w:tcW w:w="3085" w:type="dxa"/>
          </w:tcPr>
          <w:p w:rsidR="00D534D9" w:rsidRPr="00CD107F" w:rsidRDefault="00D534D9" w:rsidP="00814DF5">
            <w:pPr>
              <w:pStyle w:val="1"/>
              <w:rPr>
                <w:b w:val="0"/>
                <w:szCs w:val="24"/>
                <w:lang w:val="ro-RO"/>
              </w:rPr>
            </w:pPr>
            <w:r w:rsidRPr="00CD107F">
              <w:rPr>
                <w:szCs w:val="24"/>
                <w:lang w:val="ro-RO"/>
              </w:rPr>
              <w:t>Republica Moldova</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Raionul  Orhei</w:t>
            </w:r>
          </w:p>
          <w:p w:rsidR="00D534D9" w:rsidRPr="00CD107F" w:rsidRDefault="00D534D9" w:rsidP="00814DF5">
            <w:pPr>
              <w:pStyle w:val="2"/>
              <w:rPr>
                <w:sz w:val="24"/>
                <w:szCs w:val="24"/>
                <w:lang w:val="ro-RO"/>
              </w:rPr>
            </w:pPr>
            <w:r w:rsidRPr="00CD107F">
              <w:rPr>
                <w:sz w:val="24"/>
                <w:szCs w:val="24"/>
                <w:lang w:val="ro-RO"/>
              </w:rPr>
              <w:t>Consiliul sătesc</w:t>
            </w:r>
          </w:p>
          <w:p w:rsidR="00D534D9" w:rsidRPr="00CD107F" w:rsidRDefault="00D534D9" w:rsidP="00814DF5">
            <w:pPr>
              <w:pStyle w:val="2"/>
              <w:rPr>
                <w:sz w:val="24"/>
                <w:szCs w:val="24"/>
                <w:lang w:val="ro-RO"/>
              </w:rPr>
            </w:pPr>
            <w:r w:rsidRPr="00CD107F">
              <w:rPr>
                <w:sz w:val="24"/>
                <w:szCs w:val="24"/>
                <w:lang w:val="ro-RO"/>
              </w:rPr>
              <w:t>Isacova</w:t>
            </w:r>
          </w:p>
        </w:tc>
        <w:tc>
          <w:tcPr>
            <w:tcW w:w="3190" w:type="dxa"/>
          </w:tcPr>
          <w:p w:rsidR="00D534D9" w:rsidRPr="00CD107F" w:rsidRDefault="00D534D9" w:rsidP="00814DF5">
            <w:pPr>
              <w:rPr>
                <w:sz w:val="24"/>
                <w:szCs w:val="24"/>
                <w:lang w:val="ro-RO"/>
              </w:rPr>
            </w:pPr>
            <w:r w:rsidRPr="00CD107F">
              <w:rPr>
                <w:sz w:val="24"/>
                <w:szCs w:val="24"/>
                <w:lang w:val="ro-RO"/>
              </w:rPr>
              <w:t xml:space="preserve">               </w:t>
            </w:r>
            <w:r w:rsidRPr="00CD107F">
              <w:rPr>
                <w:noProof/>
                <w:sz w:val="24"/>
                <w:szCs w:val="24"/>
                <w:lang w:eastAsia="ru-RU"/>
              </w:rPr>
              <w:drawing>
                <wp:inline distT="0" distB="0" distL="0" distR="0" wp14:anchorId="4B615CDF" wp14:editId="7134A90E">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D534D9" w:rsidRPr="00CD107F" w:rsidRDefault="00D534D9" w:rsidP="00814DF5">
            <w:pPr>
              <w:pStyle w:val="3"/>
              <w:rPr>
                <w:szCs w:val="24"/>
                <w:lang w:val="ro-RO"/>
              </w:rPr>
            </w:pPr>
            <w:r w:rsidRPr="00CD107F">
              <w:rPr>
                <w:szCs w:val="24"/>
                <w:lang w:val="ro-RO"/>
              </w:rPr>
              <w:t>Республика Молдова</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Орхейский район</w:t>
            </w:r>
          </w:p>
          <w:p w:rsidR="00D534D9" w:rsidRPr="00CD107F" w:rsidRDefault="00D534D9" w:rsidP="00814DF5">
            <w:pPr>
              <w:pStyle w:val="2"/>
              <w:rPr>
                <w:sz w:val="24"/>
                <w:szCs w:val="24"/>
                <w:lang w:val="ro-RO"/>
              </w:rPr>
            </w:pPr>
            <w:r w:rsidRPr="00CD107F">
              <w:rPr>
                <w:sz w:val="24"/>
                <w:szCs w:val="24"/>
                <w:lang w:val="ro-RO"/>
              </w:rPr>
              <w:t>Исаковский</w:t>
            </w:r>
          </w:p>
          <w:p w:rsidR="00D534D9" w:rsidRPr="00CD107F" w:rsidRDefault="00D534D9" w:rsidP="00814DF5">
            <w:pPr>
              <w:ind w:left="104" w:hanging="104"/>
              <w:jc w:val="center"/>
              <w:rPr>
                <w:b/>
                <w:sz w:val="24"/>
                <w:szCs w:val="24"/>
                <w:lang w:val="ro-RO"/>
              </w:rPr>
            </w:pPr>
            <w:r w:rsidRPr="00CD107F">
              <w:rPr>
                <w:b/>
                <w:sz w:val="24"/>
                <w:szCs w:val="24"/>
                <w:lang w:val="ro-RO"/>
              </w:rPr>
              <w:t>сельский Совет</w:t>
            </w:r>
          </w:p>
        </w:tc>
      </w:tr>
    </w:tbl>
    <w:p w:rsidR="00D534D9" w:rsidRDefault="00D534D9" w:rsidP="00D534D9">
      <w:pPr>
        <w:ind w:right="-1192"/>
        <w:jc w:val="center"/>
        <w:rPr>
          <w:lang w:val="ro-RO"/>
        </w:rPr>
      </w:pPr>
      <w:r w:rsidRPr="00CD107F">
        <w:rPr>
          <w:lang w:val="ro-RO"/>
        </w:rPr>
        <w:t>s.Isacova,</w:t>
      </w:r>
      <w:r w:rsidRPr="001C087C">
        <w:rPr>
          <w:lang w:val="fr-FR"/>
        </w:rPr>
        <w:t xml:space="preserve"> </w:t>
      </w:r>
      <w:r w:rsidRPr="00CD107F">
        <w:rPr>
          <w:lang w:val="ro-RO"/>
        </w:rPr>
        <w:t>MD-3531, tel. 0 235 40-5-36, 0 235 40-6-73</w:t>
      </w:r>
    </w:p>
    <w:p w:rsidR="00BE790D" w:rsidRDefault="005E7A5E" w:rsidP="00BE790D">
      <w:pPr>
        <w:spacing w:after="0" w:line="240" w:lineRule="auto"/>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proect</w:t>
      </w:r>
      <w:bookmarkStart w:id="0" w:name="_GoBack"/>
      <w:bookmarkEnd w:id="0"/>
    </w:p>
    <w:p w:rsidR="009D6B98" w:rsidRDefault="00E06861"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DECIZIE nr.9/2</w:t>
      </w:r>
    </w:p>
    <w:p w:rsidR="00BE790D" w:rsidRDefault="00703787"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 xml:space="preserve"> din 09</w:t>
      </w:r>
      <w:r w:rsidR="00E06861">
        <w:rPr>
          <w:rFonts w:ascii="Times New Roman" w:hAnsi="Times New Roman" w:cs="Times New Roman"/>
          <w:b/>
          <w:sz w:val="24"/>
          <w:szCs w:val="24"/>
          <w:lang w:val="ro-MO" w:eastAsia="ru-RU"/>
        </w:rPr>
        <w:t>.12.2022</w:t>
      </w:r>
    </w:p>
    <w:p w:rsidR="00BE790D" w:rsidRDefault="00BE790D" w:rsidP="00BE790D">
      <w:pPr>
        <w:spacing w:after="0" w:line="240" w:lineRule="auto"/>
        <w:rPr>
          <w:rFonts w:ascii="Times New Roman" w:hAnsi="Times New Roman" w:cs="Times New Roman"/>
          <w:b/>
          <w:sz w:val="24"/>
          <w:szCs w:val="24"/>
          <w:lang w:val="ro-MO" w:eastAsia="ru-RU"/>
        </w:rPr>
      </w:pPr>
    </w:p>
    <w:p w:rsidR="00BE790D" w:rsidRDefault="00BE790D" w:rsidP="00BE790D">
      <w:pPr>
        <w:spacing w:after="0" w:line="240" w:lineRule="auto"/>
        <w:rPr>
          <w:rFonts w:ascii="Times New Roman" w:hAnsi="Times New Roman" w:cs="Times New Roman"/>
          <w:b/>
          <w:sz w:val="24"/>
          <w:szCs w:val="24"/>
          <w:lang w:val="ro-MO" w:eastAsia="ru-RU"/>
        </w:rPr>
      </w:pPr>
    </w:p>
    <w:p w:rsidR="00BE790D" w:rsidRPr="00AA10FE" w:rsidRDefault="00BE790D" w:rsidP="00BE790D">
      <w:pPr>
        <w:spacing w:after="0" w:line="240" w:lineRule="auto"/>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 xml:space="preserve">,, Cu privire la stabilirea cotelor </w:t>
      </w:r>
    </w:p>
    <w:p w:rsidR="00BE790D" w:rsidRPr="00AA10FE" w:rsidRDefault="00BE790D" w:rsidP="00BE790D">
      <w:pPr>
        <w:spacing w:after="0"/>
        <w:ind w:left="142"/>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impozitului pe bunurile imobiliare și</w:t>
      </w:r>
    </w:p>
    <w:p w:rsidR="00BE790D" w:rsidRPr="00AA10FE" w:rsidRDefault="00BE790D" w:rsidP="00BE790D">
      <w:pPr>
        <w:ind w:firstLine="142"/>
        <w:rPr>
          <w:rFonts w:ascii="Times New Roman" w:hAnsi="Times New Roman" w:cs="Times New Roman"/>
          <w:sz w:val="24"/>
          <w:szCs w:val="24"/>
          <w:lang w:val="ro-MO" w:eastAsia="ru-RU"/>
        </w:rPr>
      </w:pPr>
      <w:r w:rsidRPr="00AA10FE">
        <w:rPr>
          <w:rFonts w:ascii="Times New Roman" w:hAnsi="Times New Roman" w:cs="Times New Roman"/>
          <w:b/>
          <w:sz w:val="24"/>
          <w:szCs w:val="24"/>
          <w:lang w:val="ro-MO" w:eastAsia="ru-RU"/>
        </w:rPr>
        <w:t xml:space="preserve">impozitului funciar pentru anul </w:t>
      </w:r>
      <w:r w:rsidR="00B17A2A">
        <w:rPr>
          <w:rFonts w:ascii="Times New Roman" w:hAnsi="Times New Roman" w:cs="Times New Roman"/>
          <w:b/>
          <w:sz w:val="24"/>
          <w:szCs w:val="24"/>
          <w:lang w:val="ro-MO" w:eastAsia="ru-RU"/>
        </w:rPr>
        <w:t>2023</w:t>
      </w:r>
      <w:r w:rsidRPr="00AA10FE">
        <w:rPr>
          <w:rFonts w:ascii="Times New Roman" w:hAnsi="Times New Roman" w:cs="Times New Roman"/>
          <w:b/>
          <w:sz w:val="24"/>
          <w:szCs w:val="24"/>
          <w:lang w:val="ro-MO" w:eastAsia="ru-RU"/>
        </w:rPr>
        <w:t>”</w:t>
      </w:r>
      <w:r w:rsidRPr="00AA10FE">
        <w:rPr>
          <w:rFonts w:ascii="Times New Roman" w:hAnsi="Times New Roman" w:cs="Times New Roman"/>
          <w:b/>
          <w:color w:val="FFFFFF"/>
          <w:sz w:val="24"/>
          <w:szCs w:val="24"/>
          <w:u w:val="single"/>
          <w:lang w:val="ro-MO" w:eastAsia="ru-RU"/>
        </w:rPr>
        <w:t>.</w:t>
      </w:r>
      <w:r w:rsidRPr="00AA10FE">
        <w:rPr>
          <w:rFonts w:ascii="Times New Roman" w:hAnsi="Times New Roman" w:cs="Times New Roman"/>
          <w:color w:val="FFFFFF"/>
          <w:sz w:val="24"/>
          <w:szCs w:val="24"/>
          <w:u w:val="single"/>
          <w:lang w:val="ro-MO" w:eastAsia="ru-RU"/>
        </w:rPr>
        <w:t>201202202012229220</w:t>
      </w:r>
    </w:p>
    <w:p w:rsidR="00BE790D" w:rsidRPr="00F502DE" w:rsidRDefault="00BE790D" w:rsidP="00F502DE">
      <w:pPr>
        <w:ind w:firstLine="708"/>
        <w:jc w:val="both"/>
        <w:rPr>
          <w:rFonts w:ascii="Times New Roman" w:hAnsi="Times New Roman" w:cs="Times New Roman"/>
          <w:sz w:val="24"/>
          <w:szCs w:val="24"/>
          <w:lang w:val="ro-MO" w:eastAsia="ru-RU"/>
        </w:rPr>
      </w:pPr>
      <w:r w:rsidRPr="00AA10FE">
        <w:rPr>
          <w:rFonts w:ascii="Times New Roman" w:hAnsi="Times New Roman" w:cs="Times New Roman"/>
          <w:sz w:val="24"/>
          <w:szCs w:val="24"/>
          <w:lang w:val="ro-MO" w:eastAsia="ru-RU"/>
        </w:rPr>
        <w:t>În confo</w:t>
      </w:r>
      <w:r>
        <w:rPr>
          <w:rFonts w:ascii="Times New Roman" w:hAnsi="Times New Roman" w:cs="Times New Roman"/>
          <w:sz w:val="24"/>
          <w:szCs w:val="24"/>
          <w:lang w:val="ro-MO" w:eastAsia="ru-RU"/>
        </w:rPr>
        <w:t>rmitate cu titlul VI din Codul f</w:t>
      </w:r>
      <w:r w:rsidRPr="00AA10FE">
        <w:rPr>
          <w:rFonts w:ascii="Times New Roman" w:hAnsi="Times New Roman" w:cs="Times New Roman"/>
          <w:sz w:val="24"/>
          <w:szCs w:val="24"/>
          <w:lang w:val="ro-MO" w:eastAsia="ru-RU"/>
        </w:rPr>
        <w:t>iscal, aprobat prin Legea nr.1163-XIII din 24.04.1997, Legea pentru punere în aplicare a titlului VI din Codul fiscal nr.1056-XV din 16 iunie 2000, cu modificările și completările ulterioare, Legea privind administrația publică locală nr. 436-XVI din 28.12.2006, Legea privind finanțele publice și responsabilitătii</w:t>
      </w:r>
      <w:r>
        <w:rPr>
          <w:rFonts w:ascii="Times New Roman" w:hAnsi="Times New Roman" w:cs="Times New Roman"/>
          <w:sz w:val="24"/>
          <w:szCs w:val="24"/>
          <w:lang w:val="ro-MO" w:eastAsia="ru-RU"/>
        </w:rPr>
        <w:t xml:space="preserve"> bugetar-fiscale nr.</w:t>
      </w:r>
      <w:r w:rsidRPr="00AA10FE">
        <w:rPr>
          <w:rFonts w:ascii="Times New Roman" w:hAnsi="Times New Roman" w:cs="Times New Roman"/>
          <w:sz w:val="24"/>
          <w:szCs w:val="24"/>
          <w:lang w:val="ro-MO" w:eastAsia="ru-RU"/>
        </w:rPr>
        <w:t>181 din 25.07.2014,  Legea privind finanțele publice locale nr.397-XV din 16.10.2003, Legea cu privire la datoria sectorului public,</w:t>
      </w:r>
      <w:r>
        <w:rPr>
          <w:rFonts w:ascii="Times New Roman" w:hAnsi="Times New Roman" w:cs="Times New Roman"/>
          <w:sz w:val="24"/>
          <w:szCs w:val="24"/>
          <w:lang w:val="ro-MO" w:eastAsia="ru-RU"/>
        </w:rPr>
        <w:t xml:space="preserve"> garanțiile de stat ș</w:t>
      </w:r>
      <w:r w:rsidRPr="00AA10FE">
        <w:rPr>
          <w:rFonts w:ascii="Times New Roman" w:hAnsi="Times New Roman" w:cs="Times New Roman"/>
          <w:sz w:val="24"/>
          <w:szCs w:val="24"/>
          <w:lang w:val="ro-MO" w:eastAsia="ru-RU"/>
        </w:rPr>
        <w:t xml:space="preserve">i </w:t>
      </w:r>
      <w:r>
        <w:rPr>
          <w:rFonts w:ascii="Times New Roman" w:hAnsi="Times New Roman" w:cs="Times New Roman"/>
          <w:sz w:val="24"/>
          <w:szCs w:val="24"/>
          <w:lang w:val="ro-MO" w:eastAsia="ru-RU"/>
        </w:rPr>
        <w:t xml:space="preserve">recreditarea de stat nr.419-XVI </w:t>
      </w:r>
      <w:r w:rsidRPr="00AA10FE">
        <w:rPr>
          <w:rFonts w:ascii="Times New Roman" w:hAnsi="Times New Roman" w:cs="Times New Roman"/>
          <w:sz w:val="24"/>
          <w:szCs w:val="24"/>
          <w:lang w:val="ro-MO" w:eastAsia="ru-RU"/>
        </w:rPr>
        <w:t>din 22.12.2006,</w:t>
      </w:r>
      <w:r w:rsidR="00F502DE">
        <w:rPr>
          <w:rFonts w:ascii="Times New Roman" w:hAnsi="Times New Roman" w:cs="Times New Roman"/>
          <w:sz w:val="24"/>
          <w:szCs w:val="24"/>
          <w:lang w:val="ro-MO" w:eastAsia="ru-RU"/>
        </w:rPr>
        <w:t>avînd avizul pozitiv al comisiei consultative de specialitate</w:t>
      </w:r>
      <w:r>
        <w:rPr>
          <w:rFonts w:ascii="Times New Roman" w:hAnsi="Times New Roman" w:cs="Times New Roman"/>
          <w:sz w:val="24"/>
          <w:szCs w:val="24"/>
          <w:lang w:val="ro-MO" w:eastAsia="ru-RU"/>
        </w:rPr>
        <w:t xml:space="preserve"> Consiliul local</w:t>
      </w:r>
      <w:r w:rsidR="00F502DE">
        <w:rPr>
          <w:rFonts w:ascii="Times New Roman" w:hAnsi="Times New Roman" w:cs="Times New Roman"/>
          <w:sz w:val="24"/>
          <w:szCs w:val="24"/>
          <w:lang w:val="ro-MO" w:eastAsia="ru-RU"/>
        </w:rPr>
        <w:t xml:space="preserve"> Isacova</w:t>
      </w:r>
      <w:r w:rsidR="00703787">
        <w:rPr>
          <w:rFonts w:ascii="Times New Roman" w:hAnsi="Times New Roman" w:cs="Times New Roman"/>
          <w:sz w:val="24"/>
          <w:szCs w:val="24"/>
          <w:lang w:val="ro-MO" w:eastAsia="ru-RU"/>
        </w:rPr>
        <w:t xml:space="preserve"> </w:t>
      </w:r>
      <w:r w:rsidR="00F502DE" w:rsidRPr="00F502DE">
        <w:rPr>
          <w:rFonts w:ascii="Times New Roman" w:hAnsi="Times New Roman" w:cs="Times New Roman"/>
          <w:b/>
          <w:sz w:val="24"/>
          <w:szCs w:val="24"/>
          <w:lang w:val="ro-MO" w:eastAsia="ru-RU"/>
        </w:rPr>
        <w:t>DECIDE</w:t>
      </w:r>
      <w:r w:rsidRPr="00F502DE">
        <w:rPr>
          <w:rFonts w:ascii="Times New Roman" w:hAnsi="Times New Roman" w:cs="Times New Roman"/>
          <w:b/>
          <w:sz w:val="24"/>
          <w:szCs w:val="24"/>
          <w:lang w:val="ro-MO" w:eastAsia="ru-RU"/>
        </w:rPr>
        <w:t>:</w:t>
      </w:r>
    </w:p>
    <w:p w:rsidR="00BE790D" w:rsidRDefault="00BE790D" w:rsidP="00BE790D">
      <w:pPr>
        <w:ind w:firstLine="708"/>
        <w:jc w:val="both"/>
        <w:rPr>
          <w:sz w:val="24"/>
          <w:szCs w:val="24"/>
          <w:lang w:val="ro-MO" w:eastAsia="ru-RU"/>
        </w:rPr>
      </w:pPr>
    </w:p>
    <w:p w:rsidR="00BE790D" w:rsidRPr="006F2F89" w:rsidRDefault="00BE790D" w:rsidP="00BE790D">
      <w:pPr>
        <w:pStyle w:val="a3"/>
        <w:numPr>
          <w:ilvl w:val="0"/>
          <w:numId w:val="7"/>
        </w:numPr>
        <w:spacing w:after="0" w:line="259"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Se aprobă </w:t>
      </w:r>
      <w:r>
        <w:rPr>
          <w:rFonts w:ascii="Times New Roman" w:hAnsi="Times New Roman" w:cs="Times New Roman"/>
          <w:sz w:val="24"/>
          <w:szCs w:val="24"/>
          <w:lang w:val="ro-MO" w:eastAsia="ru-RU"/>
        </w:rPr>
        <w:t xml:space="preserve">cotele concrete la impozitul pe bunurile imobiliare și impozitul </w:t>
      </w:r>
      <w:r w:rsidR="00B17A2A">
        <w:rPr>
          <w:rFonts w:ascii="Times New Roman" w:hAnsi="Times New Roman" w:cs="Times New Roman"/>
          <w:sz w:val="24"/>
          <w:szCs w:val="24"/>
          <w:lang w:val="ro-MO" w:eastAsia="ru-RU"/>
        </w:rPr>
        <w:t>funciar, începând  cu 01.01.2023</w:t>
      </w:r>
      <w:r>
        <w:rPr>
          <w:rFonts w:ascii="Times New Roman" w:hAnsi="Times New Roman" w:cs="Times New Roman"/>
          <w:sz w:val="24"/>
          <w:szCs w:val="24"/>
          <w:lang w:val="ro-MO" w:eastAsia="ru-RU"/>
        </w:rPr>
        <w:t>, dupa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BE790D" w:rsidRPr="006F2F89" w:rsidTr="00F1319D">
        <w:trPr>
          <w:cantSplit/>
          <w:trHeight w:val="674"/>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Nr. d/o</w:t>
            </w:r>
          </w:p>
        </w:tc>
        <w:tc>
          <w:tcPr>
            <w:tcW w:w="7769" w:type="dxa"/>
            <w:shd w:val="clear" w:color="auto" w:fill="auto"/>
          </w:tcPr>
          <w:p w:rsidR="00BE790D" w:rsidRPr="006F2F89" w:rsidRDefault="00BE790D" w:rsidP="00F1319D">
            <w:pPr>
              <w:tabs>
                <w:tab w:val="left" w:pos="2550"/>
              </w:tabs>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Obiectele impunerii </w:t>
            </w:r>
          </w:p>
        </w:tc>
        <w:tc>
          <w:tcPr>
            <w:tcW w:w="1276" w:type="dxa"/>
            <w:gridSpan w:val="2"/>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w:t>
            </w:r>
          </w:p>
        </w:tc>
      </w:tr>
      <w:tr w:rsidR="00BE790D" w:rsidRPr="005E7A5E" w:rsidTr="00F1319D">
        <w:trPr>
          <w:trHeight w:val="298"/>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w:t>
            </w:r>
          </w:p>
        </w:tc>
        <w:tc>
          <w:tcPr>
            <w:tcW w:w="9045" w:type="dxa"/>
            <w:gridSpan w:val="3"/>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pe bunurile imobiliare </w:t>
            </w:r>
          </w:p>
          <w:p w:rsidR="00BE790D" w:rsidRPr="006F2F89" w:rsidRDefault="00BE790D" w:rsidP="00F1319D">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evaluate de către organele cadastrale în scopul impozitării</w:t>
            </w:r>
          </w:p>
          <w:p w:rsidR="00BE790D" w:rsidRPr="006F2F89" w:rsidRDefault="00BE790D" w:rsidP="00F1319D">
            <w:pPr>
              <w:jc w:val="center"/>
              <w:rPr>
                <w:rFonts w:ascii="Times New Roman" w:hAnsi="Times New Roman" w:cs="Times New Roman"/>
                <w:b/>
                <w:i/>
                <w:sz w:val="24"/>
                <w:szCs w:val="24"/>
                <w:lang w:val="ro-MO" w:eastAsia="ru-RU"/>
              </w:rPr>
            </w:pPr>
            <w:r w:rsidRPr="006F2F89">
              <w:rPr>
                <w:rFonts w:ascii="Times New Roman" w:hAnsi="Times New Roman" w:cs="Times New Roman"/>
                <w:b/>
                <w:i/>
                <w:sz w:val="24"/>
                <w:szCs w:val="24"/>
                <w:lang w:val="ro-MO" w:eastAsia="ru-RU"/>
              </w:rPr>
              <w:t xml:space="preserve">( </w:t>
            </w:r>
            <w:r w:rsidRPr="006F2F89">
              <w:rPr>
                <w:rFonts w:ascii="Times New Roman" w:hAnsi="Times New Roman" w:cs="Times New Roman"/>
                <w:i/>
                <w:sz w:val="24"/>
                <w:szCs w:val="24"/>
                <w:lang w:val="ro-MO" w:eastAsia="ru-RU"/>
              </w:rPr>
              <w:t>conform art. 280 din titlul VI al Codului fiscal)</w:t>
            </w:r>
          </w:p>
        </w:tc>
      </w:tr>
      <w:tr w:rsidR="00BE790D" w:rsidRPr="006F2F89" w:rsidTr="00F1319D">
        <w:trPr>
          <w:trHeight w:val="261"/>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inclusiv:</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74"/>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cu destinație locativă (apartamente și case de locuit individuale terenuri aferente acestor bunuri);</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61"/>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garajele și terenurile pe care acestea sunt amplasate;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462"/>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w:t>
            </w:r>
          </w:p>
        </w:tc>
        <w:tc>
          <w:tcPr>
            <w:tcW w:w="8067" w:type="dxa"/>
            <w:gridSpan w:val="2"/>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sz w:val="24"/>
                <w:szCs w:val="24"/>
                <w:lang w:val="ro-MO" w:eastAsia="ru-RU"/>
              </w:rPr>
              <w:t>loturile întovărășirilor pomicole cu sau fără construcții amplasate pe ele.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40"/>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4.</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agricole cu construcții amplasate pe ele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w:t>
            </w:r>
          </w:p>
        </w:tc>
      </w:tr>
      <w:tr w:rsidR="00BE790D" w:rsidRPr="006F2F89" w:rsidTr="00F1319D">
        <w:trPr>
          <w:trHeight w:val="558"/>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Bunurile imobiliare cu altă destinație decât cea locativă sau agricolă, inclusiv </w:t>
            </w:r>
            <w:r w:rsidRPr="006F2F89">
              <w:rPr>
                <w:rFonts w:ascii="Times New Roman" w:hAnsi="Times New Roman" w:cs="Times New Roman"/>
                <w:b/>
                <w:i/>
                <w:sz w:val="24"/>
                <w:szCs w:val="24"/>
                <w:lang w:val="ro-MO" w:eastAsia="ru-RU"/>
              </w:rPr>
              <w:t>exceptând</w:t>
            </w:r>
            <w:r w:rsidRPr="006F2F89">
              <w:rPr>
                <w:rFonts w:ascii="Times New Roman" w:hAnsi="Times New Roman" w:cs="Times New Roman"/>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0,3%</w:t>
            </w:r>
          </w:p>
        </w:tc>
      </w:tr>
      <w:tr w:rsidR="00BE790D" w:rsidRPr="006F2F89" w:rsidTr="00F1319D">
        <w:trPr>
          <w:trHeight w:val="297"/>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II</w:t>
            </w:r>
          </w:p>
        </w:tc>
        <w:tc>
          <w:tcPr>
            <w:tcW w:w="9045" w:type="dxa"/>
            <w:gridSpan w:val="3"/>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funciar </w:t>
            </w:r>
          </w:p>
          <w:p w:rsidR="00BE790D" w:rsidRPr="006F2F89" w:rsidRDefault="00BE790D" w:rsidP="00F1319D">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pentru terenurile neevaluate de către organele cadastrale în scopul impozitării</w:t>
            </w:r>
          </w:p>
          <w:p w:rsidR="00BE790D" w:rsidRPr="006F2F89" w:rsidRDefault="00BE790D" w:rsidP="00F1319D">
            <w:pPr>
              <w:jc w:val="center"/>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(conform  Anexei nr. 1 la Legea pentru punerea în aplicare a titlului VI din Codul fiscal nr.1056 din 16.06.2000)</w:t>
            </w:r>
          </w:p>
        </w:tc>
      </w:tr>
      <w:tr w:rsidR="00BE790D" w:rsidRPr="005E7A5E" w:rsidTr="00F1319D">
        <w:trPr>
          <w:trHeight w:val="1106"/>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6.</w:t>
            </w:r>
          </w:p>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cu destinație agricolă:</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toate terenurile, altele decît cele destinate fînețelor și pășunilor: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BE790D" w:rsidRPr="006F2F89" w:rsidRDefault="00BE790D" w:rsidP="00F1319D">
            <w:pPr>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1,5 lei pentru un grad hectar</w:t>
            </w:r>
          </w:p>
        </w:tc>
      </w:tr>
      <w:tr w:rsidR="00BE790D" w:rsidRPr="006F2F89" w:rsidTr="00F1319D">
        <w:trPr>
          <w:trHeight w:val="272"/>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110 lei la 1 ha</w:t>
            </w:r>
          </w:p>
        </w:tc>
      </w:tr>
      <w:tr w:rsidR="00BE790D" w:rsidRPr="005E7A5E" w:rsidTr="00F1319D">
        <w:trPr>
          <w:trHeight w:val="7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 Terenurile destinate fânețelor și pășunilor: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0,75 lei pentru un grad hectar</w:t>
            </w:r>
          </w:p>
        </w:tc>
      </w:tr>
      <w:tr w:rsidR="00BE790D" w:rsidRPr="006F2F89" w:rsidTr="00F1319D">
        <w:trPr>
          <w:trHeight w:val="261"/>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55 lei la1 ha</w:t>
            </w:r>
          </w:p>
        </w:tc>
      </w:tr>
      <w:tr w:rsidR="00BE790D" w:rsidRPr="006F2F89" w:rsidTr="00F1319D">
        <w:trPr>
          <w:trHeight w:val="536"/>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F1319D">
            <w:pPr>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3) Terenurile ocupate de obiecte acvatice (iazuri, lacuri ect.)</w:t>
            </w:r>
          </w:p>
        </w:tc>
        <w:tc>
          <w:tcPr>
            <w:tcW w:w="1276" w:type="dxa"/>
            <w:gridSpan w:val="2"/>
            <w:shd w:val="clear" w:color="auto" w:fill="auto"/>
            <w:vAlign w:val="center"/>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115 lei la 1 ha</w:t>
            </w:r>
          </w:p>
        </w:tc>
      </w:tr>
      <w:tr w:rsidR="00BE790D" w:rsidRPr="006F2F89" w:rsidTr="00F1319D">
        <w:trPr>
          <w:trHeight w:val="1235"/>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7.</w:t>
            </w:r>
          </w:p>
        </w:tc>
        <w:tc>
          <w:tcPr>
            <w:tcW w:w="7769" w:type="dxa"/>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intravilan, inclusiv:</w:t>
            </w:r>
          </w:p>
          <w:p w:rsidR="00BE790D" w:rsidRPr="006F2F89" w:rsidRDefault="00BE790D" w:rsidP="00BE790D">
            <w:pPr>
              <w:pStyle w:val="a3"/>
              <w:numPr>
                <w:ilvl w:val="0"/>
                <w:numId w:val="3"/>
              </w:numPr>
              <w:spacing w:after="0"/>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w:t>
            </w:r>
          </w:p>
          <w:p w:rsidR="00BE790D" w:rsidRPr="006F2F89" w:rsidRDefault="00BE790D" w:rsidP="00BE790D">
            <w:pPr>
              <w:pStyle w:val="a3"/>
              <w:numPr>
                <w:ilvl w:val="0"/>
                <w:numId w:val="5"/>
              </w:numPr>
              <w:spacing w:after="0"/>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în localitățile rurale; </w:t>
            </w:r>
          </w:p>
        </w:tc>
        <w:tc>
          <w:tcPr>
            <w:tcW w:w="1276" w:type="dxa"/>
            <w:gridSpan w:val="2"/>
            <w:shd w:val="clear" w:color="auto" w:fill="auto"/>
            <w:vAlign w:val="center"/>
          </w:tcPr>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leu/</w:t>
            </w:r>
          </w:p>
          <w:p w:rsidR="00BE790D" w:rsidRPr="006F2F89" w:rsidRDefault="00BE790D" w:rsidP="00F1319D">
            <w:pPr>
              <w:rPr>
                <w:rFonts w:ascii="Times New Roman" w:hAnsi="Times New Roman" w:cs="Times New Roman"/>
                <w:sz w:val="24"/>
                <w:szCs w:val="24"/>
                <w:vertAlign w:val="superscript"/>
                <w:lang w:val="ro-MO" w:eastAsia="ru-RU"/>
              </w:rPr>
            </w:pPr>
            <w:r w:rsidRPr="006F2F89">
              <w:rPr>
                <w:rFonts w:ascii="Times New Roman" w:hAnsi="Times New Roman" w:cs="Times New Roman"/>
                <w:sz w:val="24"/>
                <w:szCs w:val="24"/>
                <w:lang w:val="ro-MO" w:eastAsia="ru-RU"/>
              </w:rPr>
              <w:t>100m</w:t>
            </w:r>
            <w:r w:rsidRPr="006F2F89">
              <w:rPr>
                <w:rFonts w:ascii="Times New Roman" w:hAnsi="Times New Roman" w:cs="Times New Roman"/>
                <w:sz w:val="24"/>
                <w:szCs w:val="24"/>
                <w:vertAlign w:val="superscript"/>
                <w:lang w:val="ro-MO" w:eastAsia="ru-RU"/>
              </w:rPr>
              <w:t>2</w:t>
            </w:r>
          </w:p>
        </w:tc>
      </w:tr>
      <w:tr w:rsidR="00BE790D" w:rsidRPr="006F2F89" w:rsidTr="00F1319D">
        <w:trPr>
          <w:trHeight w:val="636"/>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BE790D">
            <w:pPr>
              <w:numPr>
                <w:ilvl w:val="0"/>
                <w:numId w:val="3"/>
              </w:numPr>
              <w:spacing w:after="0"/>
              <w:contextualSpacing/>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conform valorii estimate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BE790D" w:rsidRPr="006F2F89" w:rsidRDefault="00BE790D" w:rsidP="00BE790D">
            <w:pPr>
              <w:numPr>
                <w:ilvl w:val="0"/>
                <w:numId w:val="5"/>
              </w:numPr>
              <w:spacing w:after="0"/>
              <w:contextualSpacing/>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oraşe</w:t>
            </w:r>
          </w:p>
          <w:p w:rsidR="00BE790D" w:rsidRPr="006F2F89" w:rsidRDefault="00BE790D" w:rsidP="00BE790D">
            <w:pPr>
              <w:pStyle w:val="a3"/>
              <w:numPr>
                <w:ilvl w:val="0"/>
                <w:numId w:val="6"/>
              </w:numPr>
              <w:spacing w:after="0"/>
              <w:ind w:left="857" w:hanging="425"/>
              <w:jc w:val="both"/>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municipii, oraşe-rezidente</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622"/>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BE790D">
            <w:pPr>
              <w:pStyle w:val="a3"/>
              <w:numPr>
                <w:ilvl w:val="0"/>
                <w:numId w:val="3"/>
              </w:num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destinate întreprinderilor agricole, alte terenuri neevaluate de către organele cadastrale teritoriale conform valorii estimate.</w:t>
            </w:r>
            <w:r w:rsidRPr="006F2F89">
              <w:rPr>
                <w:rFonts w:ascii="Times New Roman" w:hAnsi="Times New Roman" w:cs="Times New Roman"/>
                <w:sz w:val="24"/>
                <w:szCs w:val="24"/>
                <w:lang w:val="ro-MO"/>
              </w:rPr>
              <w:t xml:space="preserve"> </w:t>
            </w: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Pr>
                <w:rFonts w:ascii="Times New Roman" w:hAnsi="Times New Roman" w:cs="Times New Roman"/>
                <w:sz w:val="24"/>
                <w:szCs w:val="24"/>
                <w:lang w:val="ro-MO" w:eastAsia="ru-RU"/>
              </w:rPr>
              <w:t>10 lei pentru 100m2</w:t>
            </w:r>
          </w:p>
        </w:tc>
      </w:tr>
      <w:tr w:rsidR="00BE790D" w:rsidRPr="006F2F89" w:rsidTr="00F1319D">
        <w:trPr>
          <w:trHeight w:val="1698"/>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8.</w:t>
            </w:r>
          </w:p>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spacing w:after="0"/>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extravilan, inclusiv:</w:t>
            </w:r>
          </w:p>
          <w:p w:rsidR="00BE790D" w:rsidRPr="006F2F89" w:rsidRDefault="00BE790D" w:rsidP="00BE790D">
            <w:pPr>
              <w:pStyle w:val="a3"/>
              <w:numPr>
                <w:ilvl w:val="0"/>
                <w:numId w:val="4"/>
              </w:num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pe care sunt amplasate clădiri și construcții, carierele și pământurile distruse în urma activității de producție, neevaluate de către organele cadastrale teritoriale  conform valorii estimate:</w:t>
            </w:r>
          </w:p>
          <w:p w:rsidR="00BE790D" w:rsidRPr="00CE552D" w:rsidRDefault="00BE790D" w:rsidP="00F1319D">
            <w:pPr>
              <w:spacing w:after="0"/>
              <w:ind w:left="1080"/>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spacing w:after="0" w:line="240"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350 lei la 1 ha</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b/>
                <w:sz w:val="24"/>
                <w:szCs w:val="24"/>
                <w:lang w:val="ro-MO" w:eastAsia="ru-RU"/>
              </w:rPr>
            </w:pPr>
          </w:p>
        </w:tc>
        <w:tc>
          <w:tcPr>
            <w:tcW w:w="1276" w:type="dxa"/>
            <w:gridSpan w:val="2"/>
            <w:shd w:val="clear" w:color="auto" w:fill="auto"/>
          </w:tcPr>
          <w:p w:rsidR="00BE790D" w:rsidRPr="006F2F89" w:rsidRDefault="00BE790D" w:rsidP="00F1319D">
            <w:pPr>
              <w:rPr>
                <w:rFonts w:ascii="Times New Roman" w:hAnsi="Times New Roman" w:cs="Times New Roman"/>
                <w:sz w:val="24"/>
                <w:szCs w:val="24"/>
                <w:lang w:val="ro-MO" w:eastAsia="ru-RU"/>
              </w:rPr>
            </w:pPr>
          </w:p>
        </w:tc>
      </w:tr>
      <w:tr w:rsidR="00BE790D" w:rsidRPr="006F2F89" w:rsidTr="00F1319D">
        <w:trPr>
          <w:trHeight w:val="711"/>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        2) terenurile altele decât cele specificate la alin.1), neevaluate de către organele cadastrale teritoriale conform valorii estimate.</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917"/>
        </w:trPr>
        <w:tc>
          <w:tcPr>
            <w:tcW w:w="9889" w:type="dxa"/>
            <w:gridSpan w:val="4"/>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Cotele concrete la impozitul pe bunurile imobiliare</w:t>
            </w:r>
          </w:p>
          <w:p w:rsidR="00BE790D" w:rsidRPr="006F2F89" w:rsidRDefault="00BE790D" w:rsidP="00F1319D">
            <w:pPr>
              <w:jc w:val="center"/>
              <w:rPr>
                <w:rFonts w:ascii="Times New Roman" w:hAnsi="Times New Roman" w:cs="Times New Roman"/>
                <w:iCs/>
                <w:sz w:val="24"/>
                <w:szCs w:val="24"/>
                <w:lang w:val="ro-MO"/>
              </w:rPr>
            </w:pPr>
            <w:r w:rsidRPr="006F2F89">
              <w:rPr>
                <w:rFonts w:ascii="Times New Roman" w:hAnsi="Times New Roman" w:cs="Times New Roman"/>
                <w:sz w:val="24"/>
                <w:szCs w:val="24"/>
                <w:lang w:val="ro-MO" w:eastAsia="ru-RU"/>
              </w:rPr>
              <w:t xml:space="preserve">pentru </w:t>
            </w:r>
            <w:r w:rsidRPr="006F2F89">
              <w:rPr>
                <w:rFonts w:ascii="Times New Roman" w:hAnsi="Times New Roman" w:cs="Times New Roman"/>
                <w:sz w:val="24"/>
                <w:szCs w:val="24"/>
                <w:lang w:val="ro-MO"/>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neevaluate de către organele cadastrale în scopul impozitării</w:t>
            </w:r>
          </w:p>
          <w:p w:rsidR="00BE790D" w:rsidRPr="006F2F89" w:rsidRDefault="00BE790D" w:rsidP="00F1319D">
            <w:pPr>
              <w:jc w:val="center"/>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(conform Anexei.2 la Legea pentru punerea în aplicare a titlului VI din Codul fiscal nr.1056 din 16.06.2000)</w:t>
            </w:r>
          </w:p>
        </w:tc>
      </w:tr>
      <w:tr w:rsidR="00BE790D" w:rsidRPr="006F2F89" w:rsidTr="00F1319D">
        <w:trPr>
          <w:trHeight w:val="1556"/>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9.</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clădirile și construcțiile cu destinație agricolă, garajele, construcţiile amplasate pe terenurile loturilor întovărăşirilor pomicole,  neevaluate de către organele cadastrale teritoriale conform valorii estimate, inclusiv:</w:t>
            </w:r>
          </w:p>
          <w:p w:rsidR="00BE790D" w:rsidRPr="006F2F89" w:rsidRDefault="00BE790D" w:rsidP="00BE790D">
            <w:pPr>
              <w:pStyle w:val="a3"/>
              <w:numPr>
                <w:ilvl w:val="0"/>
                <w:numId w:val="1"/>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BE790D">
            <w:pPr>
              <w:pStyle w:val="a3"/>
              <w:numPr>
                <w:ilvl w:val="0"/>
                <w:numId w:val="1"/>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fizice, altele decât cele specificate la lit.a).</w:t>
            </w:r>
            <w:r w:rsidRPr="006F2F89">
              <w:rPr>
                <w:rFonts w:ascii="Times New Roman" w:hAnsi="Times New Roman" w:cs="Times New Roman"/>
                <w:sz w:val="24"/>
                <w:szCs w:val="24"/>
                <w:lang w:val="ro-MO" w:eastAsia="ru-RU"/>
              </w:rPr>
              <w:tab/>
            </w: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valoarea de bilanț a bunurilor imobiliare pe perioada fiscală</w:t>
            </w:r>
          </w:p>
        </w:tc>
      </w:tr>
      <w:tr w:rsidR="00BE790D" w:rsidRPr="006F2F89" w:rsidTr="00F1319D">
        <w:trPr>
          <w:trHeight w:val="365"/>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costul bunurilor imobiliare</w:t>
            </w:r>
          </w:p>
        </w:tc>
      </w:tr>
      <w:tr w:rsidR="00BE790D" w:rsidRPr="006F2F89" w:rsidTr="00F1319D">
        <w:trPr>
          <w:trHeight w:val="1331"/>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alte decât cele specificate în pct.9 și pct.11, neevaluate de către organele cadastrale teritoriale conform valorii estimate, inclusiv:</w:t>
            </w:r>
          </w:p>
          <w:p w:rsidR="00BE790D" w:rsidRPr="006F2F89" w:rsidRDefault="00BE790D" w:rsidP="00BE790D">
            <w:pPr>
              <w:pStyle w:val="a3"/>
              <w:numPr>
                <w:ilvl w:val="0"/>
                <w:numId w:val="2"/>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BE790D" w:rsidRPr="006F2F89" w:rsidRDefault="00BE790D" w:rsidP="00BE790D">
            <w:pPr>
              <w:pStyle w:val="a3"/>
              <w:numPr>
                <w:ilvl w:val="0"/>
                <w:numId w:val="2"/>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persoanele fizice, altele decât cele specificate la lit.a).</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0.3%</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rPr>
            </w:pPr>
            <w:r w:rsidRPr="006F2F89">
              <w:rPr>
                <w:rFonts w:ascii="Times New Roman" w:hAnsi="Times New Roman" w:cs="Times New Roman"/>
                <w:sz w:val="24"/>
                <w:szCs w:val="24"/>
                <w:lang w:val="ro-MO" w:eastAsia="ru-RU"/>
              </w:rPr>
              <w:t>0,3%</w:t>
            </w:r>
          </w:p>
        </w:tc>
      </w:tr>
      <w:tr w:rsidR="00BE790D" w:rsidRPr="006F2F89" w:rsidTr="00F1319D">
        <w:trPr>
          <w:trHeight w:val="1108"/>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cu destinație locativă (apartamente și case de locuit individuale) din localitățile rurale se stabilesc după cum urmează:</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 pentru persoanele juridice și fizice care desfășoară activitate de întreprinzător;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persoanele fizice, altele decît cele specificate la lit. a)</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BE790D" w:rsidRPr="005E7A5E" w:rsidTr="00F1319D">
        <w:trPr>
          <w:trHeight w:val="2527"/>
        </w:trPr>
        <w:tc>
          <w:tcPr>
            <w:tcW w:w="9889" w:type="dxa"/>
            <w:gridSpan w:val="4"/>
            <w:shd w:val="clear" w:color="auto" w:fill="auto"/>
          </w:tcPr>
          <w:p w:rsidR="00BE790D" w:rsidRPr="006F2F89" w:rsidRDefault="00BE790D" w:rsidP="00F1319D">
            <w:pPr>
              <w:ind w:firstLine="596"/>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cotele concrete stabilite ale impozitului pe bunurile imobiliare se majorează în funcție de suprafața totală, după cum urmează:</w:t>
            </w:r>
          </w:p>
          <w:p w:rsidR="00BE790D" w:rsidRPr="006F2F89" w:rsidRDefault="00BE790D" w:rsidP="00F1319D">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100 la 150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1,5 ori;</w:t>
            </w:r>
          </w:p>
          <w:p w:rsidR="00BE790D" w:rsidRPr="006F2F89" w:rsidRDefault="00BE790D" w:rsidP="00F1319D">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150 la 200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2 ori;</w:t>
            </w:r>
          </w:p>
          <w:p w:rsidR="00BE790D" w:rsidRPr="006F2F89" w:rsidRDefault="00BE790D" w:rsidP="00F1319D">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200 la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10 ori;</w:t>
            </w:r>
          </w:p>
          <w:p w:rsidR="00BE790D" w:rsidRPr="006F2F89" w:rsidRDefault="00BE790D" w:rsidP="00F1319D">
            <w:pPr>
              <w:tabs>
                <w:tab w:val="center" w:pos="4836"/>
              </w:tabs>
              <w:jc w:val="both"/>
              <w:rPr>
                <w:rFonts w:ascii="Times New Roman" w:hAnsi="Times New Roman" w:cs="Times New Roman"/>
                <w:i/>
                <w:sz w:val="24"/>
                <w:szCs w:val="24"/>
                <w:lang w:val="ro-MO"/>
              </w:rPr>
            </w:pPr>
            <w:r w:rsidRPr="006F2F89">
              <w:rPr>
                <w:rFonts w:ascii="Times New Roman" w:hAnsi="Times New Roman" w:cs="Times New Roman"/>
                <w:i/>
                <w:sz w:val="24"/>
                <w:szCs w:val="24"/>
                <w:lang w:val="ro-MO" w:eastAsia="ru-RU"/>
              </w:rPr>
              <w:lastRenderedPageBreak/>
              <w:t>- peste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 de 15 ori.</w:t>
            </w:r>
            <w:r w:rsidRPr="006F2F89">
              <w:rPr>
                <w:rFonts w:ascii="Times New Roman" w:hAnsi="Times New Roman" w:cs="Times New Roman"/>
                <w:i/>
                <w:sz w:val="24"/>
                <w:szCs w:val="24"/>
                <w:lang w:val="ro-MO"/>
              </w:rPr>
              <w:t xml:space="preserve"> </w:t>
            </w:r>
            <w:r w:rsidRPr="006F2F89">
              <w:rPr>
                <w:rFonts w:ascii="Times New Roman" w:hAnsi="Times New Roman" w:cs="Times New Roman"/>
                <w:i/>
                <w:sz w:val="24"/>
                <w:szCs w:val="24"/>
                <w:lang w:val="ro-MO"/>
              </w:rPr>
              <w:tab/>
            </w:r>
          </w:p>
          <w:p w:rsidR="00BE790D" w:rsidRPr="006F2F89" w:rsidRDefault="00BE790D" w:rsidP="00F1319D">
            <w:pPr>
              <w:ind w:firstLine="596"/>
              <w:jc w:val="both"/>
              <w:rPr>
                <w:rFonts w:ascii="Times New Roman" w:hAnsi="Times New Roman" w:cs="Times New Roman"/>
                <w:sz w:val="24"/>
                <w:szCs w:val="24"/>
                <w:lang w:val="ro-MO" w:eastAsia="ru-RU"/>
              </w:rPr>
            </w:pPr>
            <w:r w:rsidRPr="006F2F89">
              <w:rPr>
                <w:rFonts w:ascii="Times New Roman" w:hAnsi="Times New Roman" w:cs="Times New Roman"/>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BE790D" w:rsidRPr="006F2F89" w:rsidRDefault="00BE790D" w:rsidP="00BE790D">
      <w:pPr>
        <w:ind w:left="709" w:right="-285" w:hanging="425"/>
        <w:jc w:val="both"/>
        <w:rPr>
          <w:rFonts w:ascii="Times New Roman" w:hAnsi="Times New Roman" w:cs="Times New Roman"/>
          <w:sz w:val="24"/>
          <w:szCs w:val="24"/>
          <w:lang w:val="ro-MO" w:eastAsia="ru-RU"/>
        </w:rPr>
      </w:pPr>
    </w:p>
    <w:p w:rsidR="00091D0C" w:rsidRPr="00BB51AA" w:rsidRDefault="00091D0C" w:rsidP="00BB51AA">
      <w:pPr>
        <w:pStyle w:val="a3"/>
        <w:numPr>
          <w:ilvl w:val="0"/>
          <w:numId w:val="7"/>
        </w:numPr>
        <w:spacing w:after="0" w:line="240" w:lineRule="auto"/>
        <w:ind w:right="-30"/>
        <w:rPr>
          <w:sz w:val="24"/>
          <w:szCs w:val="24"/>
          <w:lang w:val="ro-RO"/>
        </w:rPr>
      </w:pPr>
      <w:r w:rsidRPr="00BB51AA">
        <w:rPr>
          <w:sz w:val="24"/>
          <w:szCs w:val="24"/>
          <w:lang w:val="ro-MO"/>
        </w:rPr>
        <w:t>Executarea prezentei Decizii se pune pe seama</w:t>
      </w:r>
      <w:r w:rsidRPr="00BB51AA">
        <w:rPr>
          <w:sz w:val="24"/>
          <w:szCs w:val="24"/>
          <w:lang w:val="ro-RO"/>
        </w:rPr>
        <w:t xml:space="preserve"> specialistului pentru percepere fiscală din </w:t>
      </w:r>
      <w:r w:rsidR="00BB51AA" w:rsidRPr="00BB51AA">
        <w:rPr>
          <w:sz w:val="24"/>
          <w:szCs w:val="24"/>
          <w:lang w:val="ro-RO"/>
        </w:rPr>
        <w:t xml:space="preserve">   </w:t>
      </w:r>
      <w:r w:rsidRPr="00BB51AA">
        <w:rPr>
          <w:sz w:val="24"/>
          <w:szCs w:val="24"/>
          <w:lang w:val="ro-RO"/>
        </w:rPr>
        <w:t>cadrul Primăriei Isacova, d-na Ochincă Silvia</w:t>
      </w:r>
      <w:r w:rsidRPr="00BB51AA">
        <w:rPr>
          <w:sz w:val="24"/>
          <w:szCs w:val="24"/>
          <w:lang w:val="ro-MO"/>
        </w:rPr>
        <w:t xml:space="preserve"> .</w:t>
      </w:r>
    </w:p>
    <w:p w:rsidR="00091D0C" w:rsidRPr="00BB51AA" w:rsidRDefault="00091D0C" w:rsidP="00BB51AA">
      <w:pPr>
        <w:pStyle w:val="a3"/>
        <w:numPr>
          <w:ilvl w:val="0"/>
          <w:numId w:val="7"/>
        </w:numPr>
        <w:spacing w:after="0" w:line="240" w:lineRule="auto"/>
        <w:ind w:right="-30"/>
        <w:jc w:val="both"/>
        <w:rPr>
          <w:sz w:val="24"/>
          <w:szCs w:val="24"/>
          <w:lang w:val="ro-MO"/>
        </w:rPr>
      </w:pPr>
      <w:r w:rsidRPr="00BB51AA">
        <w:rPr>
          <w:sz w:val="24"/>
          <w:szCs w:val="24"/>
          <w:lang w:val="ro-MO"/>
        </w:rPr>
        <w:t>Controlul executării prezentei Decizii  se pune pe seama primarului Cvasnîi Stanislav.</w:t>
      </w:r>
    </w:p>
    <w:p w:rsidR="00091D0C" w:rsidRPr="00E93CC6" w:rsidRDefault="00091D0C" w:rsidP="00091D0C">
      <w:pPr>
        <w:ind w:right="-668"/>
        <w:jc w:val="both"/>
        <w:rPr>
          <w:sz w:val="24"/>
          <w:szCs w:val="24"/>
          <w:lang w:val="ro-MO"/>
        </w:rPr>
      </w:pPr>
    </w:p>
    <w:p w:rsidR="00BE790D" w:rsidRPr="006F2F89" w:rsidRDefault="00BE790D" w:rsidP="00BE790D">
      <w:pPr>
        <w:ind w:left="567" w:right="-426"/>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p>
    <w:p w:rsidR="00F502DE" w:rsidRDefault="00BE790D" w:rsidP="00BE790D">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Președintele ședinței</w:t>
      </w:r>
      <w:r w:rsidR="00F502DE">
        <w:rPr>
          <w:rFonts w:ascii="Times New Roman" w:hAnsi="Times New Roman" w:cs="Times New Roman"/>
          <w:sz w:val="24"/>
          <w:szCs w:val="24"/>
          <w:lang w:val="ro-RO"/>
        </w:rPr>
        <w:t xml:space="preserve">   </w:t>
      </w:r>
      <w:r w:rsidR="00703787">
        <w:rPr>
          <w:rFonts w:ascii="Times New Roman" w:hAnsi="Times New Roman" w:cs="Times New Roman"/>
          <w:sz w:val="24"/>
          <w:szCs w:val="24"/>
          <w:lang w:val="ro-RO"/>
        </w:rPr>
        <w:t xml:space="preserve">                                                         Butucel Constantin</w:t>
      </w:r>
    </w:p>
    <w:p w:rsidR="00BE790D" w:rsidRPr="006F2F89" w:rsidRDefault="00BE790D" w:rsidP="00BE79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F2F89">
        <w:rPr>
          <w:rFonts w:ascii="Times New Roman" w:hAnsi="Times New Roman" w:cs="Times New Roman"/>
          <w:sz w:val="24"/>
          <w:szCs w:val="24"/>
          <w:lang w:val="ro-RO"/>
        </w:rPr>
        <w:t>Semnat la data de _____________</w:t>
      </w:r>
    </w:p>
    <w:p w:rsidR="00BE790D" w:rsidRPr="006F2F89" w:rsidRDefault="00BE790D" w:rsidP="00BE790D">
      <w:pPr>
        <w:spacing w:after="0" w:line="240" w:lineRule="auto"/>
        <w:jc w:val="both"/>
        <w:rPr>
          <w:rFonts w:ascii="Times New Roman" w:hAnsi="Times New Roman" w:cs="Times New Roman"/>
          <w:sz w:val="24"/>
          <w:szCs w:val="24"/>
          <w:lang w:val="ro-RO"/>
        </w:rPr>
      </w:pPr>
    </w:p>
    <w:p w:rsidR="00BE790D" w:rsidRPr="006F2F89" w:rsidRDefault="00BE790D" w:rsidP="00BE79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Contrasemnează</w:t>
      </w:r>
      <w:r w:rsidR="00703787">
        <w:rPr>
          <w:rFonts w:ascii="Times New Roman" w:hAnsi="Times New Roman" w:cs="Times New Roman"/>
          <w:sz w:val="24"/>
          <w:szCs w:val="24"/>
          <w:lang w:val="ro-RO"/>
        </w:rPr>
        <w:t xml:space="preserve">                                                                 </w:t>
      </w:r>
    </w:p>
    <w:p w:rsidR="00BE790D" w:rsidRPr="006F2F89" w:rsidRDefault="00BE790D" w:rsidP="00BE790D">
      <w:pPr>
        <w:tabs>
          <w:tab w:val="left" w:pos="6915"/>
        </w:tabs>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Secretarul</w:t>
      </w:r>
      <w:r>
        <w:rPr>
          <w:rFonts w:ascii="Times New Roman" w:hAnsi="Times New Roman" w:cs="Times New Roman"/>
          <w:sz w:val="24"/>
          <w:szCs w:val="24"/>
          <w:lang w:val="ro-RO"/>
        </w:rPr>
        <w:t xml:space="preserve"> al </w:t>
      </w:r>
      <w:r w:rsidRPr="006F2F89">
        <w:rPr>
          <w:rFonts w:ascii="Times New Roman" w:hAnsi="Times New Roman" w:cs="Times New Roman"/>
          <w:sz w:val="24"/>
          <w:szCs w:val="24"/>
          <w:lang w:val="ro-RO"/>
        </w:rPr>
        <w:t xml:space="preserve">Consiliului local           </w:t>
      </w:r>
      <w:r w:rsidR="00BB51AA">
        <w:rPr>
          <w:rFonts w:ascii="Times New Roman" w:hAnsi="Times New Roman" w:cs="Times New Roman"/>
          <w:sz w:val="24"/>
          <w:szCs w:val="24"/>
          <w:lang w:val="ro-RO"/>
        </w:rPr>
        <w:t xml:space="preserve">                                   Cupcenco Feodora</w:t>
      </w:r>
      <w:r w:rsidRPr="006F2F89">
        <w:rPr>
          <w:rFonts w:ascii="Times New Roman" w:hAnsi="Times New Roman" w:cs="Times New Roman"/>
          <w:sz w:val="24"/>
          <w:szCs w:val="24"/>
          <w:lang w:val="ro-RO"/>
        </w:rPr>
        <w:t xml:space="preserve">            </w:t>
      </w:r>
      <w:r w:rsidR="00B17A2A">
        <w:rPr>
          <w:rFonts w:ascii="Times New Roman" w:hAnsi="Times New Roman" w:cs="Times New Roman"/>
          <w:sz w:val="24"/>
          <w:szCs w:val="24"/>
          <w:lang w:val="ro-RO"/>
        </w:rPr>
        <w:t xml:space="preserve">               </w:t>
      </w:r>
      <w:r w:rsidRPr="006F2F8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A912A3" w:rsidRPr="008A58DF" w:rsidRDefault="00A912A3" w:rsidP="008A58DF">
      <w:pPr>
        <w:jc w:val="center"/>
        <w:rPr>
          <w:sz w:val="24"/>
          <w:szCs w:val="24"/>
          <w:lang w:val="ro-RO"/>
        </w:rPr>
      </w:pPr>
    </w:p>
    <w:sectPr w:rsidR="00A912A3" w:rsidRPr="008A5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9E1"/>
    <w:multiLevelType w:val="hybridMultilevel"/>
    <w:tmpl w:val="5D866100"/>
    <w:lvl w:ilvl="0" w:tplc="0419000F">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3FE61C42"/>
    <w:multiLevelType w:val="hybridMultilevel"/>
    <w:tmpl w:val="70CE04C0"/>
    <w:lvl w:ilvl="0" w:tplc="0419000F">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91D0C"/>
    <w:rsid w:val="000B21A0"/>
    <w:rsid w:val="000C6E6C"/>
    <w:rsid w:val="00107AD5"/>
    <w:rsid w:val="00143121"/>
    <w:rsid w:val="001A131E"/>
    <w:rsid w:val="001B5CC4"/>
    <w:rsid w:val="001C0865"/>
    <w:rsid w:val="001D33EA"/>
    <w:rsid w:val="001F52D4"/>
    <w:rsid w:val="002271EF"/>
    <w:rsid w:val="00231004"/>
    <w:rsid w:val="0023741F"/>
    <w:rsid w:val="00242A2D"/>
    <w:rsid w:val="0025150B"/>
    <w:rsid w:val="0028581F"/>
    <w:rsid w:val="00291D97"/>
    <w:rsid w:val="00295563"/>
    <w:rsid w:val="002967D3"/>
    <w:rsid w:val="002E630E"/>
    <w:rsid w:val="003A1E0F"/>
    <w:rsid w:val="003C2A2D"/>
    <w:rsid w:val="003E2DE7"/>
    <w:rsid w:val="003E4A32"/>
    <w:rsid w:val="00413238"/>
    <w:rsid w:val="0042596E"/>
    <w:rsid w:val="004335E2"/>
    <w:rsid w:val="0045443A"/>
    <w:rsid w:val="004B141A"/>
    <w:rsid w:val="004C1EE1"/>
    <w:rsid w:val="004E1B1E"/>
    <w:rsid w:val="00565050"/>
    <w:rsid w:val="0058158E"/>
    <w:rsid w:val="005E7A5E"/>
    <w:rsid w:val="00683D60"/>
    <w:rsid w:val="00683DA2"/>
    <w:rsid w:val="006A7937"/>
    <w:rsid w:val="006F169A"/>
    <w:rsid w:val="00703787"/>
    <w:rsid w:val="0070679D"/>
    <w:rsid w:val="00777ACD"/>
    <w:rsid w:val="007B6ABE"/>
    <w:rsid w:val="007C6546"/>
    <w:rsid w:val="007C7840"/>
    <w:rsid w:val="007D404E"/>
    <w:rsid w:val="007F68AF"/>
    <w:rsid w:val="0080411B"/>
    <w:rsid w:val="00807958"/>
    <w:rsid w:val="00811596"/>
    <w:rsid w:val="00815009"/>
    <w:rsid w:val="00872EBA"/>
    <w:rsid w:val="008A58DF"/>
    <w:rsid w:val="008C7314"/>
    <w:rsid w:val="00916F77"/>
    <w:rsid w:val="0093085C"/>
    <w:rsid w:val="00955FBB"/>
    <w:rsid w:val="009564B7"/>
    <w:rsid w:val="0097506F"/>
    <w:rsid w:val="009A7B91"/>
    <w:rsid w:val="009B001F"/>
    <w:rsid w:val="009D6B98"/>
    <w:rsid w:val="00A00571"/>
    <w:rsid w:val="00A37717"/>
    <w:rsid w:val="00A912A3"/>
    <w:rsid w:val="00AE77B4"/>
    <w:rsid w:val="00AF30F0"/>
    <w:rsid w:val="00B06D83"/>
    <w:rsid w:val="00B07E07"/>
    <w:rsid w:val="00B10FBB"/>
    <w:rsid w:val="00B17A2A"/>
    <w:rsid w:val="00B60960"/>
    <w:rsid w:val="00BB51AA"/>
    <w:rsid w:val="00BD77CB"/>
    <w:rsid w:val="00BE790D"/>
    <w:rsid w:val="00C609E1"/>
    <w:rsid w:val="00CD05E2"/>
    <w:rsid w:val="00CF2B86"/>
    <w:rsid w:val="00D534D9"/>
    <w:rsid w:val="00DE58AD"/>
    <w:rsid w:val="00E06861"/>
    <w:rsid w:val="00E10492"/>
    <w:rsid w:val="00E261CF"/>
    <w:rsid w:val="00E3164B"/>
    <w:rsid w:val="00E568E0"/>
    <w:rsid w:val="00E70F05"/>
    <w:rsid w:val="00ED1F18"/>
    <w:rsid w:val="00EE45D5"/>
    <w:rsid w:val="00EF7712"/>
    <w:rsid w:val="00F31DF7"/>
    <w:rsid w:val="00F37D1F"/>
    <w:rsid w:val="00F502DE"/>
    <w:rsid w:val="00F6718E"/>
    <w:rsid w:val="00F80C26"/>
    <w:rsid w:val="00F91FC5"/>
    <w:rsid w:val="00FA1151"/>
    <w:rsid w:val="00FA18D1"/>
    <w:rsid w:val="00FA4230"/>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A17B-2258-4D4B-981C-7F9EE8C4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2022-12-20T06:17:00Z</cp:lastPrinted>
  <dcterms:created xsi:type="dcterms:W3CDTF">2022-10-27T10:08:00Z</dcterms:created>
  <dcterms:modified xsi:type="dcterms:W3CDTF">2022-12-20T06:17:00Z</dcterms:modified>
</cp:coreProperties>
</file>