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887" w:rsidRPr="008C5887" w:rsidRDefault="008C5887" w:rsidP="008C5887">
      <w:pPr>
        <w:spacing w:after="0"/>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Anexă nr.</w:t>
      </w:r>
      <w:proofErr w:type="gramEnd"/>
      <w:r w:rsidRPr="008C5887">
        <w:rPr>
          <w:rFonts w:ascii="Times New Roman" w:eastAsiaTheme="minorEastAsia" w:hAnsi="Times New Roman" w:cs="Times New Roman"/>
          <w:b/>
          <w:sz w:val="24"/>
          <w:szCs w:val="24"/>
          <w:lang w:val="en-US" w:eastAsia="ro-RO"/>
        </w:rPr>
        <w:t xml:space="preserve"> 1 </w:t>
      </w:r>
    </w:p>
    <w:p w:rsidR="008C5887" w:rsidRPr="008C5887" w:rsidRDefault="008C5887" w:rsidP="008C5887">
      <w:pPr>
        <w:spacing w:after="0"/>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la</w:t>
      </w:r>
      <w:proofErr w:type="gramEnd"/>
      <w:r w:rsidRPr="008C5887">
        <w:rPr>
          <w:rFonts w:ascii="Times New Roman" w:eastAsiaTheme="minorEastAsia" w:hAnsi="Times New Roman" w:cs="Times New Roman"/>
          <w:b/>
          <w:sz w:val="24"/>
          <w:szCs w:val="24"/>
          <w:lang w:val="en-US" w:eastAsia="ro-RO"/>
        </w:rPr>
        <w:t xml:space="preserve"> Decizia nr. 1 / 4</w:t>
      </w:r>
    </w:p>
    <w:p w:rsidR="008C5887" w:rsidRPr="008C5887" w:rsidRDefault="008C5887" w:rsidP="008C5887">
      <w:pPr>
        <w:spacing w:after="0"/>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din</w:t>
      </w:r>
      <w:proofErr w:type="gramEnd"/>
      <w:r w:rsidRPr="008C5887">
        <w:rPr>
          <w:rFonts w:ascii="Times New Roman" w:eastAsiaTheme="minorEastAsia" w:hAnsi="Times New Roman" w:cs="Times New Roman"/>
          <w:b/>
          <w:sz w:val="24"/>
          <w:szCs w:val="24"/>
          <w:lang w:val="en-US" w:eastAsia="ro-RO"/>
        </w:rPr>
        <w:t xml:space="preserve"> 15. 03. 2022</w:t>
      </w:r>
    </w:p>
    <w:p w:rsidR="008C5887" w:rsidRPr="008C5887" w:rsidRDefault="008C5887" w:rsidP="008C5887">
      <w:pPr>
        <w:spacing w:after="0"/>
        <w:jc w:val="center"/>
        <w:rPr>
          <w:rFonts w:ascii="Times New Roman" w:eastAsiaTheme="minorEastAsia" w:hAnsi="Times New Roman" w:cs="Times New Roman"/>
          <w:b/>
          <w:sz w:val="28"/>
          <w:szCs w:val="28"/>
          <w:lang w:val="en-US" w:eastAsia="ro-RO"/>
        </w:rPr>
      </w:pPr>
    </w:p>
    <w:p w:rsidR="008C5887" w:rsidRPr="008C5887" w:rsidRDefault="008C5887" w:rsidP="008C5887">
      <w:pPr>
        <w:jc w:val="center"/>
        <w:rPr>
          <w:rFonts w:eastAsiaTheme="minorEastAsia"/>
          <w:sz w:val="52"/>
          <w:szCs w:val="52"/>
          <w:lang w:val="en-US" w:eastAsia="ro-RO"/>
        </w:rPr>
      </w:pPr>
      <w:r w:rsidRPr="008C5887">
        <w:rPr>
          <w:rFonts w:eastAsiaTheme="minorEastAsia"/>
          <w:sz w:val="52"/>
          <w:szCs w:val="52"/>
          <w:lang w:val="en-US" w:eastAsia="ro-RO"/>
        </w:rPr>
        <w:t>Raport</w:t>
      </w:r>
    </w:p>
    <w:p w:rsidR="008C5887" w:rsidRPr="008C5887" w:rsidRDefault="008C5887" w:rsidP="008C5887">
      <w:pPr>
        <w:spacing w:after="0" w:line="360" w:lineRule="auto"/>
        <w:jc w:val="center"/>
        <w:rPr>
          <w:rFonts w:ascii="Times New Roman" w:eastAsiaTheme="minorEastAsia" w:hAnsi="Times New Roman" w:cs="Times New Roman"/>
          <w:b/>
          <w:sz w:val="24"/>
          <w:szCs w:val="24"/>
          <w:lang w:val="en-US" w:eastAsia="ro-RO"/>
        </w:rPr>
      </w:pPr>
      <w:r w:rsidRPr="008C5887">
        <w:rPr>
          <w:rFonts w:ascii="Times New Roman" w:eastAsiaTheme="minorEastAsia" w:hAnsi="Times New Roman" w:cs="Times New Roman"/>
          <w:b/>
          <w:sz w:val="24"/>
          <w:szCs w:val="24"/>
          <w:lang w:val="en-US" w:eastAsia="ro-RO"/>
        </w:rPr>
        <w:t>Cu privire la activitatea administraț</w:t>
      </w:r>
      <w:proofErr w:type="gramStart"/>
      <w:r w:rsidRPr="008C5887">
        <w:rPr>
          <w:rFonts w:ascii="Times New Roman" w:eastAsiaTheme="minorEastAsia" w:hAnsi="Times New Roman" w:cs="Times New Roman"/>
          <w:b/>
          <w:sz w:val="24"/>
          <w:szCs w:val="24"/>
          <w:lang w:val="en-US" w:eastAsia="ro-RO"/>
        </w:rPr>
        <w:t>iei  publice</w:t>
      </w:r>
      <w:proofErr w:type="gramEnd"/>
      <w:r w:rsidRPr="008C5887">
        <w:rPr>
          <w:rFonts w:ascii="Times New Roman" w:eastAsiaTheme="minorEastAsia" w:hAnsi="Times New Roman" w:cs="Times New Roman"/>
          <w:b/>
          <w:sz w:val="24"/>
          <w:szCs w:val="24"/>
          <w:lang w:val="en-US" w:eastAsia="ro-RO"/>
        </w:rPr>
        <w:t xml:space="preserve">  locale     în anul  2021</w:t>
      </w:r>
    </w:p>
    <w:p w:rsidR="008C5887" w:rsidRPr="008C5887" w:rsidRDefault="008C5887" w:rsidP="008C5887">
      <w:pPr>
        <w:spacing w:after="0" w:line="360" w:lineRule="auto"/>
        <w:jc w:val="center"/>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în</w:t>
      </w:r>
      <w:proofErr w:type="gramEnd"/>
      <w:r w:rsidRPr="008C5887">
        <w:rPr>
          <w:rFonts w:ascii="Times New Roman" w:eastAsiaTheme="minorEastAsia" w:hAnsi="Times New Roman" w:cs="Times New Roman"/>
          <w:b/>
          <w:sz w:val="24"/>
          <w:szCs w:val="24"/>
          <w:lang w:val="en-US" w:eastAsia="ro-RO"/>
        </w:rPr>
        <w:t xml:space="preserve"> vederea  dezvoltării  capacităţii administrative</w:t>
      </w:r>
    </w:p>
    <w:p w:rsidR="008C5887" w:rsidRPr="008C5887" w:rsidRDefault="008C5887" w:rsidP="008C5887">
      <w:pPr>
        <w:spacing w:after="0" w:line="360" w:lineRule="auto"/>
        <w:jc w:val="center"/>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a  autorităţilor</w:t>
      </w:r>
      <w:proofErr w:type="gramEnd"/>
      <w:r w:rsidRPr="008C5887">
        <w:rPr>
          <w:rFonts w:ascii="Times New Roman" w:eastAsiaTheme="minorEastAsia" w:hAnsi="Times New Roman" w:cs="Times New Roman"/>
          <w:b/>
          <w:sz w:val="24"/>
          <w:szCs w:val="24"/>
          <w:lang w:val="en-US" w:eastAsia="ro-RO"/>
        </w:rPr>
        <w:t xml:space="preserve">    publice locale   a  satului Grozeşti, raionul Nisporeni</w:t>
      </w:r>
    </w:p>
    <w:p w:rsidR="008C5887" w:rsidRPr="008C5887" w:rsidRDefault="008C5887" w:rsidP="008C5887">
      <w:pPr>
        <w:spacing w:after="0" w:line="360" w:lineRule="auto"/>
        <w:jc w:val="center"/>
        <w:rPr>
          <w:rFonts w:ascii="Times New Roman" w:eastAsiaTheme="minorEastAsia" w:hAnsi="Times New Roman"/>
          <w:b/>
          <w:sz w:val="24"/>
          <w:szCs w:val="24"/>
          <w:lang w:val="ro-RO" w:eastAsia="ro-RO"/>
        </w:rPr>
      </w:pPr>
    </w:p>
    <w:p w:rsidR="008C5887" w:rsidRPr="008C5887" w:rsidRDefault="008C5887" w:rsidP="008C5887">
      <w:pPr>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Este firesc, ca anual să se facă o evaluare complexă a activităţii Primăriei conform planului de dezvoltare a capacităţii administrative raportat la acţiunile întreprinse în perioada de raportare și bilanţul e necesar pentru a conştientiza în această etapă corectitudinea desfăşurării acţiunilor întreprinse şi pentru a demonstra asigurarea unor rezultate </w:t>
      </w:r>
      <w:proofErr w:type="gramStart"/>
      <w:r w:rsidRPr="008C5887">
        <w:rPr>
          <w:rFonts w:ascii="Times New Roman" w:eastAsiaTheme="minorEastAsia" w:hAnsi="Times New Roman" w:cs="Times New Roman"/>
          <w:sz w:val="24"/>
          <w:szCs w:val="24"/>
          <w:lang w:val="en-US" w:eastAsia="ro-RO"/>
        </w:rPr>
        <w:t>promise .</w:t>
      </w:r>
      <w:proofErr w:type="gramEnd"/>
      <w:r w:rsidRPr="008C5887">
        <w:rPr>
          <w:rFonts w:ascii="Times New Roman" w:eastAsiaTheme="minorEastAsia" w:hAnsi="Times New Roman" w:cs="Times New Roman"/>
          <w:sz w:val="24"/>
          <w:szCs w:val="24"/>
          <w:lang w:val="en-US" w:eastAsia="ro-RO"/>
        </w:rPr>
        <w:t xml:space="preserve"> </w:t>
      </w:r>
    </w:p>
    <w:p w:rsidR="008C5887" w:rsidRPr="008C5887" w:rsidRDefault="008C5887" w:rsidP="008C5887">
      <w:pPr>
        <w:spacing w:after="0" w:line="360" w:lineRule="auto"/>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Primăria satului Grozeşti este motivată pentru a promova  în localitate  o abordare inovativă şi practică de sporire a capacităţii comunităţii  locale privind identificarea şi evaluarea problemelor cu care se confruntă în activităţile curente, elaborarea unor bugete locale optime, orientate spre acoperirea financiară a problemelor locale, elaborarea planurilor de dezvoltare instituţională şi locală, precum şi implementarea, monitorizarea şi  evaluarea procesului de dezvoltarea locală într-o manieră mai eficientă.</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b/>
          <w:sz w:val="24"/>
          <w:szCs w:val="24"/>
          <w:lang w:val="ro-RO" w:eastAsia="ro-RO"/>
        </w:rPr>
        <w:t xml:space="preserve">Scopul </w:t>
      </w:r>
      <w:r w:rsidRPr="008C5887">
        <w:rPr>
          <w:rFonts w:ascii="Times New Roman" w:eastAsiaTheme="minorEastAsia" w:hAnsi="Times New Roman" w:cs="Times New Roman"/>
          <w:sz w:val="24"/>
          <w:szCs w:val="24"/>
          <w:lang w:val="ro-RO" w:eastAsia="ro-RO"/>
        </w:rPr>
        <w:t>analizei funcţionale este de a  evalua activitatea APL  în mod obiectiv, sistematic şi calitativ propriile activităţi vizînd perfecţionarea organizării instituţionale şi sporirea eficienţei acesteia măsurînd indicatorii de evaluare a funcţiilor îndeplinite în materie de costuri, eficacitate, calitate şi  plenitudine.</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Analiza funcţională îşi propune să evalueze corespunderea dintre activităţile purtate de către  APL în localitate, atribuţiile şi prerogativele stabilite prin efectul legii şi prin alte recomandări normative şi  solicitările lansate de către  populaţie faţă de APL. Aceasta ne-a sugerat  măsura în care instituţia şi-a  propune şi are şanse reale pentru realizarea misiunii şi obiectivelor prestabilite. În acest timp,  prin analiza funcţională se urmăreşte măsura în care structura organizatorică a instituţiei corespunde logic  cerinţelor stabilite la îndeplinirea acestor funcţii. </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Conform planului de acţiuni stabilit pe termen scurt şi mediu pentru anii 2021-2026 ne-am axat pe 4 obiective strategice de bază, cum ar fi APL dezvoltată şi funcţională, Activitate transparentă a APL, Personal cu capacităţi performante, şi Parteneriate la nivel regional şi transfrontalier.</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 Pentru cresterea capacităţii de planificare şi implementare a unui buget realist a fost promovat o politică raţională pro-activă în elaborarea unui proiect de buget , s-au elaborat bugete bazate pe programe de performanţă, au fost replanificate cote ale BL pentru cofinanţarea proiectelor prioritare, inclusiv la planificarea anticipată,periodic funcţionarii au mers la seminare de instruire privind implementarea politicilor publice.Funcţionarii publici şi consilieri locali au participat la elaborarea şi planificarea strategică a localităţii.</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lastRenderedPageBreak/>
        <w:t>Pentru asigurarea accesului populaţiei la informanţie,în contextul transparenţii activităţii, a fost creată pagina web a instituţiei, unde trimestrial se publică informatia privind deciziile CL şi altor acte şi reglementări emise sau adoptate. Periodic a fost emise broşuri informative pentru cetăţeni în ceea ce ţine realizarea celor mai importante proiecte investiţionale implementate. Prin şedinţele cu cetăţenii sau adunările pe mahalale conduse de consilierii locali pe sectoarele de care au fost numiţi responsabili, au fost consultate idei de proiecte, strategii, planificări ale acţiunilor şi astfel se disimina informaţia privind procesul decizional în comunitate. Toate proiectele propuse au avut expertiza externă pentru îmbunătăţirea calităţii lor din punct de vedere topografic,geodezic.</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 Mai puţin s-a lucrat la lărgirea listei partenerilor cu implicare la proiecte comune, acorduri mai specifice pe domenii şi amplificare a practicilor. Nu a fost creată o unitate specializată în elaborarea şi implementarea proiectelor de cooperare transfrontalieră. </w:t>
      </w:r>
    </w:p>
    <w:p w:rsidR="008C5887" w:rsidRPr="008C5887" w:rsidRDefault="008C5887" w:rsidP="008C5887">
      <w:pPr>
        <w:spacing w:line="360" w:lineRule="auto"/>
        <w:rPr>
          <w:rFonts w:ascii="Times New Roman" w:eastAsiaTheme="minorEastAsia" w:hAnsi="Times New Roman" w:cs="Times New Roman"/>
          <w:color w:val="000000"/>
          <w:sz w:val="28"/>
          <w:szCs w:val="28"/>
          <w:u w:val="single"/>
          <w:lang w:val="en-US" w:eastAsia="ro-RO"/>
        </w:rPr>
      </w:pPr>
      <w:r w:rsidRPr="008C5887">
        <w:rPr>
          <w:rFonts w:ascii="Times New Roman" w:eastAsiaTheme="minorEastAsia" w:hAnsi="Times New Roman" w:cs="Times New Roman"/>
          <w:b/>
          <w:color w:val="000000"/>
          <w:sz w:val="28"/>
          <w:szCs w:val="28"/>
          <w:u w:val="single"/>
          <w:lang w:val="ro-RO" w:eastAsia="ro-RO"/>
        </w:rPr>
        <w:t>S</w:t>
      </w:r>
      <w:r w:rsidRPr="008C5887">
        <w:rPr>
          <w:rFonts w:ascii="Times New Roman" w:eastAsiaTheme="minorEastAsia" w:hAnsi="Times New Roman" w:cs="Times New Roman"/>
          <w:b/>
          <w:color w:val="000000"/>
          <w:sz w:val="28"/>
          <w:szCs w:val="28"/>
          <w:u w:val="single"/>
          <w:lang w:val="en-US" w:eastAsia="ro-RO"/>
        </w:rPr>
        <w:t>inteză a activității  secretarului Consiliului  Local și al satului Grozești</w:t>
      </w:r>
      <w:r w:rsidRPr="008C5887">
        <w:rPr>
          <w:rFonts w:ascii="Times New Roman" w:eastAsiaTheme="minorEastAsia" w:hAnsi="Times New Roman" w:cs="Times New Roman"/>
          <w:color w:val="000000"/>
          <w:sz w:val="28"/>
          <w:szCs w:val="28"/>
          <w:u w:val="single"/>
          <w:lang w:val="en-US" w:eastAsia="ro-RO"/>
        </w:rPr>
        <w:t xml:space="preserve"> </w:t>
      </w:r>
    </w:p>
    <w:p w:rsidR="008C5887" w:rsidRPr="008C5887" w:rsidRDefault="008C5887" w:rsidP="008C5887">
      <w:pPr>
        <w:spacing w:after="0"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Vin  cu acest material despre activitatea secretarului , acesta fiind un gest normal față de  consilierii locali, în calitatea lor de reprezentanți ai  locuitorilor  satului Grozești , care pe aceasta cale pot avea o imagine generală asupra activității secretarului consiliului din anul 2021, asupra modului în care au fost rezolvate problemele comunității noastre. </w:t>
      </w:r>
    </w:p>
    <w:p w:rsidR="008C5887" w:rsidRPr="008C5887" w:rsidRDefault="008C5887" w:rsidP="008C5887">
      <w:pPr>
        <w:spacing w:after="0"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Totodată vreau să vă informez că preocuparea mea cât și a întregului aparat  din cadrul Primăriei fost transparența și gospodărirea eficientă a bugetului local spre soluționarea necesităților locale.</w:t>
      </w:r>
    </w:p>
    <w:p w:rsidR="008C5887" w:rsidRPr="008C5887" w:rsidRDefault="008C5887" w:rsidP="008C5887">
      <w:pPr>
        <w:jc w:val="center"/>
        <w:rPr>
          <w:rFonts w:ascii="Calibri" w:eastAsia="Times New Roman" w:hAnsi="Calibri" w:cs="Times New Roman"/>
          <w:sz w:val="24"/>
          <w:szCs w:val="24"/>
          <w:lang w:val="ro-RO" w:eastAsia="ro-RO"/>
        </w:rPr>
      </w:pPr>
    </w:p>
    <w:p w:rsidR="008C5887" w:rsidRPr="008C5887" w:rsidRDefault="008C5887" w:rsidP="008C5887">
      <w:pPr>
        <w:spacing w:after="0"/>
        <w:jc w:val="both"/>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În scopul eficientizării activităţii APL Grozeşti secretarul Consiliului local dar și al satului Grozești ,  a contribuit, mai întîi, prin ridicarea gradului personal de profesionalism şi prin sincronizarea comportamentului şi prestaţiei personale  la nevoile membrilor comunităţii. Prin prestarea de servicii calitative şi operative , prin  luarea  celor mai  optime decizii pentru fiecare situaţie în parte,  prin  comunicare  pozitivă şi compatibilitate zi de zi cu oamenii  a încercat să cultive la cetăţeni încrederea în  administraţia publică locală , în particular,  şi  în sistemul democratic al ţării, în general. Or, sondajele, de ultimă oră în rîndurile populației</w:t>
      </w:r>
    </w:p>
    <w:p w:rsidR="008C5887" w:rsidRPr="008C5887" w:rsidRDefault="008C5887" w:rsidP="008C5887">
      <w:pPr>
        <w:spacing w:after="0"/>
        <w:jc w:val="both"/>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 R. Moldova  arată, că oamenii acordă spor de încredere mai mare primăriilor locale, decît</w:t>
      </w:r>
      <w:r w:rsidRPr="008C5887">
        <w:rPr>
          <w:rFonts w:ascii="Times New Roman" w:eastAsia="Times New Roman" w:hAnsi="Times New Roman" w:cs="Times New Roman"/>
          <w:b/>
          <w:sz w:val="24"/>
          <w:szCs w:val="24"/>
          <w:lang w:val="ro-RO" w:eastAsia="ro-RO"/>
        </w:rPr>
        <w:t xml:space="preserve"> </w:t>
      </w:r>
      <w:r w:rsidRPr="008C5887">
        <w:rPr>
          <w:rFonts w:ascii="Times New Roman" w:eastAsia="Times New Roman" w:hAnsi="Times New Roman" w:cs="Times New Roman"/>
          <w:sz w:val="24"/>
          <w:szCs w:val="24"/>
          <w:lang w:val="ro-RO" w:eastAsia="ro-RO"/>
        </w:rPr>
        <w:t>puterii centrale.</w:t>
      </w:r>
    </w:p>
    <w:p w:rsidR="008C5887" w:rsidRPr="008C5887" w:rsidRDefault="008C5887" w:rsidP="008C5887">
      <w:pPr>
        <w:jc w:val="both"/>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Activitatea  secretarului  ține de respectarea Fișei Postului și  realizarea obiectivelor individuale, stabilite de către primarul satului la fiecare început de an.</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RO" w:eastAsia="ro-RO"/>
        </w:rPr>
        <w:t xml:space="preserve">Voi  face o scurtă  </w:t>
      </w:r>
      <w:r w:rsidRPr="008C5887">
        <w:rPr>
          <w:rFonts w:ascii="Times New Roman" w:eastAsiaTheme="minorEastAsia" w:hAnsi="Times New Roman" w:cs="Times New Roman"/>
          <w:b/>
          <w:sz w:val="24"/>
          <w:szCs w:val="24"/>
          <w:lang w:val="ro-MO" w:eastAsia="ro-RO"/>
        </w:rPr>
        <w:t>evaluare a îndeplinirii obiectivelor individuale de activitate a secretarului  :</w:t>
      </w:r>
    </w:p>
    <w:p w:rsidR="008C5887" w:rsidRPr="008C5887" w:rsidRDefault="008C5887" w:rsidP="008C5887">
      <w:pPr>
        <w:jc w:val="both"/>
        <w:rPr>
          <w:rFonts w:ascii="Calibri" w:eastAsia="Times New Roman" w:hAnsi="Calibri" w:cs="Times New Roman"/>
          <w:lang w:val="ro-MO" w:eastAsia="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2"/>
        <w:gridCol w:w="2339"/>
        <w:gridCol w:w="1260"/>
        <w:gridCol w:w="2879"/>
      </w:tblGrid>
      <w:tr w:rsidR="008C5887" w:rsidRPr="008C5887" w:rsidTr="000E6A4D">
        <w:tc>
          <w:tcPr>
            <w:tcW w:w="648" w:type="dxa"/>
            <w:shd w:val="clear" w:color="auto" w:fill="E6E6E6"/>
          </w:tcPr>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Nr.</w:t>
            </w:r>
          </w:p>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crt.</w:t>
            </w:r>
          </w:p>
        </w:tc>
        <w:tc>
          <w:tcPr>
            <w:tcW w:w="2702" w:type="dxa"/>
            <w:shd w:val="clear" w:color="auto" w:fill="E6E6E6"/>
          </w:tcPr>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Obiective individuale de activitate</w:t>
            </w:r>
          </w:p>
        </w:tc>
        <w:tc>
          <w:tcPr>
            <w:tcW w:w="2339" w:type="dxa"/>
            <w:shd w:val="clear" w:color="auto" w:fill="E6E6E6"/>
          </w:tcPr>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Indicatori de performanţă</w:t>
            </w:r>
          </w:p>
        </w:tc>
        <w:tc>
          <w:tcPr>
            <w:tcW w:w="1260" w:type="dxa"/>
            <w:shd w:val="clear" w:color="auto" w:fill="E6E6E6"/>
          </w:tcPr>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Nivelul de îndeplinire, în %</w:t>
            </w:r>
          </w:p>
        </w:tc>
        <w:tc>
          <w:tcPr>
            <w:tcW w:w="2879" w:type="dxa"/>
            <w:shd w:val="clear" w:color="auto" w:fill="E6E6E6"/>
          </w:tcPr>
          <w:p w:rsidR="008C5887" w:rsidRPr="008C5887" w:rsidRDefault="008C5887" w:rsidP="008C5887">
            <w:pPr>
              <w:spacing w:before="60" w:after="60"/>
              <w:jc w:val="center"/>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 xml:space="preserve">Comentarii </w:t>
            </w:r>
          </w:p>
        </w:tc>
      </w:tr>
      <w:tr w:rsidR="008C5887" w:rsidRPr="008C5887" w:rsidTr="000E6A4D">
        <w:tc>
          <w:tcPr>
            <w:tcW w:w="648" w:type="dxa"/>
          </w:tcPr>
          <w:p w:rsidR="008C5887" w:rsidRPr="008C5887" w:rsidRDefault="008C5887" w:rsidP="008C5887">
            <w:pPr>
              <w:spacing w:after="0"/>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1.</w:t>
            </w:r>
          </w:p>
        </w:tc>
        <w:tc>
          <w:tcPr>
            <w:tcW w:w="2702"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Să  organizez  şi să desfăşor 4 şedinţe  ale Consiliului sătesc</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tc>
        <w:tc>
          <w:tcPr>
            <w:tcW w:w="2339"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lastRenderedPageBreak/>
              <w:t xml:space="preserve">- Nr. de şedinţe </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    desfăşurate </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lastRenderedPageBreak/>
              <w:t>- Proiecte de decizii, procese- verbale , decizii perfectate în termeni  stabiliţi</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Nr. minim de sesizări în rezultatul  controlului de legalitate a deciziilor</w:t>
            </w:r>
          </w:p>
        </w:tc>
        <w:tc>
          <w:tcPr>
            <w:tcW w:w="1260" w:type="dxa"/>
          </w:tcPr>
          <w:p w:rsidR="008C5887" w:rsidRPr="008C5887" w:rsidRDefault="008C5887" w:rsidP="008C5887">
            <w:pPr>
              <w:spacing w:before="60" w:after="60"/>
              <w:rPr>
                <w:rFonts w:ascii="Times New Roman" w:eastAsiaTheme="minorEastAsia" w:hAnsi="Times New Roman" w:cs="Times New Roman"/>
                <w:b/>
                <w:sz w:val="24"/>
                <w:szCs w:val="24"/>
                <w:lang w:val="en-US" w:eastAsia="ro-RO"/>
              </w:rPr>
            </w:pPr>
            <w:r w:rsidRPr="008C5887">
              <w:rPr>
                <w:rFonts w:ascii="Times New Roman" w:eastAsiaTheme="minorEastAsia" w:hAnsi="Times New Roman" w:cs="Times New Roman"/>
                <w:b/>
                <w:sz w:val="24"/>
                <w:szCs w:val="24"/>
                <w:lang w:val="ro-MO" w:eastAsia="ro-RO"/>
              </w:rPr>
              <w:lastRenderedPageBreak/>
              <w:t xml:space="preserve">100 </w:t>
            </w:r>
            <w:r w:rsidRPr="008C5887">
              <w:rPr>
                <w:rFonts w:ascii="Times New Roman" w:eastAsiaTheme="minorEastAsia" w:hAnsi="Times New Roman" w:cs="Times New Roman"/>
                <w:b/>
                <w:sz w:val="24"/>
                <w:szCs w:val="24"/>
                <w:lang w:val="en-US" w:eastAsia="ro-RO"/>
              </w:rPr>
              <w:t>%</w:t>
            </w:r>
          </w:p>
        </w:tc>
        <w:tc>
          <w:tcPr>
            <w:tcW w:w="2879" w:type="dxa"/>
          </w:tcPr>
          <w:p w:rsidR="008C5887" w:rsidRPr="008C5887" w:rsidRDefault="008C5887" w:rsidP="008C5887">
            <w:pPr>
              <w:spacing w:before="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-Am organizat şi     desfăşurat  6 şedinţe ale consiliului local.</w:t>
            </w:r>
          </w:p>
          <w:p w:rsidR="008C5887" w:rsidRPr="008C5887" w:rsidRDefault="008C5887" w:rsidP="008C5887">
            <w:pPr>
              <w:spacing w:before="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lastRenderedPageBreak/>
              <w:t>-Am  perfectat 6 procese-verbale şi 49 de decizii.</w:t>
            </w:r>
          </w:p>
          <w:p w:rsidR="008C5887" w:rsidRPr="008C5887" w:rsidRDefault="008C5887" w:rsidP="008C5887">
            <w:pPr>
              <w:spacing w:before="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Au fost sesizate:</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   Decizii – 0 </w:t>
            </w:r>
          </w:p>
        </w:tc>
      </w:tr>
      <w:tr w:rsidR="008C5887" w:rsidRPr="008C5887" w:rsidTr="000E6A4D">
        <w:tc>
          <w:tcPr>
            <w:tcW w:w="648" w:type="dxa"/>
          </w:tcPr>
          <w:p w:rsidR="008C5887" w:rsidRPr="008C5887" w:rsidRDefault="008C5887" w:rsidP="008C5887">
            <w:pPr>
              <w:spacing w:after="0"/>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lastRenderedPageBreak/>
              <w:t>2.</w:t>
            </w:r>
          </w:p>
        </w:tc>
        <w:tc>
          <w:tcPr>
            <w:tcW w:w="2702"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Să asigur transparența actului decizional prin publicarea tuturor materialelor de interes public pe actelocale.gov.md, pe pagina WEB, panourile informative , precum și punerea lor, la solicitare,  la dispoziția părților interesate ;</w:t>
            </w:r>
          </w:p>
        </w:tc>
        <w:tc>
          <w:tcPr>
            <w:tcW w:w="2339" w:type="dxa"/>
          </w:tcPr>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  Nr. de informații de interes public publicate </w:t>
            </w:r>
          </w:p>
          <w:p w:rsidR="008C5887" w:rsidRPr="008C5887" w:rsidRDefault="008C5887" w:rsidP="008C5887">
            <w:pP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MO" w:eastAsia="ro-RO"/>
              </w:rPr>
              <w:t xml:space="preserve">-  Nr. </w:t>
            </w:r>
            <w:r w:rsidRPr="008C5887">
              <w:rPr>
                <w:rFonts w:ascii="Times New Roman" w:eastAsiaTheme="minorEastAsia" w:hAnsi="Times New Roman" w:cs="Times New Roman"/>
                <w:b/>
                <w:sz w:val="24"/>
                <w:szCs w:val="24"/>
                <w:lang w:val="ro-RO" w:eastAsia="ro-RO"/>
              </w:rPr>
              <w:t xml:space="preserve">Solicitări înregistrate de informaţii de interes   public </w:t>
            </w:r>
          </w:p>
          <w:p w:rsidR="008C5887" w:rsidRPr="008C5887" w:rsidRDefault="008C5887" w:rsidP="008C5887">
            <w:pPr>
              <w:jc w:val="both"/>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-Nr.de vizitatori</w:t>
            </w:r>
          </w:p>
          <w:p w:rsidR="008C5887" w:rsidRPr="008C5887" w:rsidRDefault="008C5887" w:rsidP="008C5887">
            <w:pPr>
              <w:jc w:val="both"/>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 xml:space="preserve">( estimativ ) </w:t>
            </w:r>
          </w:p>
          <w:p w:rsidR="008C5887" w:rsidRPr="008C5887" w:rsidRDefault="008C5887" w:rsidP="008C5887">
            <w:pPr>
              <w:jc w:val="both"/>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ai paginii WEB</w:t>
            </w:r>
          </w:p>
        </w:tc>
        <w:tc>
          <w:tcPr>
            <w:tcW w:w="1260"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100 %</w:t>
            </w:r>
          </w:p>
        </w:tc>
        <w:tc>
          <w:tcPr>
            <w:tcW w:w="2879" w:type="dxa"/>
          </w:tcPr>
          <w:p w:rsidR="008C5887" w:rsidRPr="008C5887" w:rsidRDefault="008C5887" w:rsidP="008C5887">
            <w:pPr>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Materialele de interes public sunt afișate la panouri și expediate celor vizați.</w:t>
            </w:r>
          </w:p>
          <w:p w:rsidR="008C5887" w:rsidRPr="008C5887" w:rsidRDefault="008C5887" w:rsidP="008C5887">
            <w:pPr>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 xml:space="preserve">Nu au parvenit  în 2021 solicitări de la alți membri ai comunității  privind accesul la </w:t>
            </w:r>
          </w:p>
          <w:p w:rsidR="008C5887" w:rsidRPr="008C5887" w:rsidRDefault="008C5887" w:rsidP="008C5887">
            <w:pPr>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 xml:space="preserve"> materialele  publice.</w:t>
            </w:r>
          </w:p>
          <w:p w:rsidR="008C5887" w:rsidRPr="008C5887" w:rsidRDefault="008C5887" w:rsidP="008C5887">
            <w:pPr>
              <w:spacing w:before="60" w:after="60"/>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Pe VEB au fost plasate  49  Proiecte de decizii și materialele aferente.</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color w:val="000000"/>
                <w:sz w:val="24"/>
                <w:szCs w:val="24"/>
                <w:lang w:val="ro-RO" w:eastAsia="ro-RO"/>
              </w:rPr>
              <w:t xml:space="preserve"> </w:t>
            </w:r>
          </w:p>
        </w:tc>
      </w:tr>
      <w:tr w:rsidR="008C5887" w:rsidRPr="008C5887" w:rsidTr="000E6A4D">
        <w:tc>
          <w:tcPr>
            <w:tcW w:w="648" w:type="dxa"/>
          </w:tcPr>
          <w:p w:rsidR="008C5887" w:rsidRPr="008C5887" w:rsidRDefault="008C5887" w:rsidP="008C5887">
            <w:pPr>
              <w:spacing w:after="0"/>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t>3.</w:t>
            </w:r>
          </w:p>
        </w:tc>
        <w:tc>
          <w:tcPr>
            <w:tcW w:w="2702" w:type="dxa"/>
          </w:tcPr>
          <w:p w:rsidR="008C5887" w:rsidRPr="008C5887" w:rsidRDefault="008C5887" w:rsidP="008C5887">
            <w:pP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MO" w:eastAsia="ro-RO"/>
              </w:rPr>
              <w:t xml:space="preserve">Să </w:t>
            </w:r>
            <w:r w:rsidRPr="008C5887">
              <w:rPr>
                <w:rFonts w:ascii="Times New Roman" w:eastAsiaTheme="minorEastAsia" w:hAnsi="Times New Roman" w:cs="Times New Roman"/>
                <w:b/>
                <w:sz w:val="24"/>
                <w:szCs w:val="24"/>
                <w:lang w:val="ro-RO" w:eastAsia="ro-RO"/>
              </w:rPr>
              <w:t xml:space="preserve"> execut şi să acord asistenţă angajaţilor  primăriei cu privire la modul, termenele de soluţionare a anumitor probleme, perfectare de documente, expediere de răspunsuri  instituţiilor solicitante şi să verific executarea lor </w:t>
            </w:r>
          </w:p>
          <w:p w:rsidR="008C5887" w:rsidRPr="008C5887" w:rsidRDefault="008C5887" w:rsidP="008C5887">
            <w:pPr>
              <w:spacing w:before="60" w:after="60"/>
              <w:rPr>
                <w:rFonts w:ascii="Times New Roman" w:eastAsiaTheme="minorEastAsia" w:hAnsi="Times New Roman" w:cs="Times New Roman"/>
                <w:b/>
                <w:sz w:val="24"/>
                <w:szCs w:val="24"/>
                <w:lang w:val="ro-RO" w:eastAsia="ro-RO"/>
              </w:rPr>
            </w:pPr>
          </w:p>
          <w:p w:rsidR="008C5887" w:rsidRPr="008C5887" w:rsidRDefault="008C5887" w:rsidP="008C5887">
            <w:pPr>
              <w:jc w:val="center"/>
              <w:rPr>
                <w:rFonts w:ascii="Times New Roman" w:eastAsiaTheme="minorEastAsia" w:hAnsi="Times New Roman" w:cs="Times New Roman"/>
                <w:b/>
                <w:sz w:val="24"/>
                <w:szCs w:val="24"/>
                <w:lang w:val="ro-RO" w:eastAsia="ro-RO"/>
              </w:rPr>
            </w:pPr>
          </w:p>
        </w:tc>
        <w:tc>
          <w:tcPr>
            <w:tcW w:w="2339"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  Registrele de  </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    evidenţa a  documentelor intrate,  expediate , de stare civilă, notariat , dispoziţii ale     primarului  completate </w:t>
            </w:r>
          </w:p>
          <w:p w:rsidR="008C5887" w:rsidRPr="008C5887" w:rsidRDefault="008C5887" w:rsidP="008C5887">
            <w:pP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MO" w:eastAsia="ro-RO"/>
              </w:rPr>
              <w:t xml:space="preserve"> -  Nr. de documente perfectate raportat la nr. de   solicitări</w:t>
            </w:r>
          </w:p>
        </w:tc>
        <w:tc>
          <w:tcPr>
            <w:tcW w:w="1260"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100 %</w:t>
            </w:r>
          </w:p>
        </w:tc>
        <w:tc>
          <w:tcPr>
            <w:tcW w:w="2879" w:type="dxa"/>
          </w:tcPr>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Au fost înregistrate, examinate şi perfectate:</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Documente intrate – 140</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Expediate – 100</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Petiţii – 45</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Acte de stare civilă - 44</w:t>
            </w:r>
          </w:p>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Certificate – 3500</w:t>
            </w:r>
          </w:p>
          <w:p w:rsidR="008C5887" w:rsidRPr="008C5887" w:rsidRDefault="008C5887" w:rsidP="008C5887">
            <w:pPr>
              <w:widowControl w:val="0"/>
              <w:numPr>
                <w:ilvl w:val="0"/>
                <w:numId w:val="1"/>
              </w:numPr>
              <w:autoSpaceDE w:val="0"/>
              <w:autoSpaceDN w:val="0"/>
              <w:adjustRightInd w:val="0"/>
              <w:spacing w:after="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Dispoziţii ale primarului – 144</w:t>
            </w:r>
          </w:p>
          <w:p w:rsidR="008C5887" w:rsidRPr="008C5887" w:rsidRDefault="008C5887" w:rsidP="008C5887">
            <w:pPr>
              <w:widowControl w:val="0"/>
              <w:numPr>
                <w:ilvl w:val="0"/>
                <w:numId w:val="1"/>
              </w:numPr>
              <w:autoSpaceDE w:val="0"/>
              <w:autoSpaceDN w:val="0"/>
              <w:adjustRightInd w:val="0"/>
              <w:spacing w:after="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Din ele:</w:t>
            </w:r>
          </w:p>
          <w:p w:rsidR="008C5887" w:rsidRPr="008C5887" w:rsidRDefault="008C5887" w:rsidP="008C5887">
            <w:pPr>
              <w:widowControl w:val="0"/>
              <w:numPr>
                <w:ilvl w:val="0"/>
                <w:numId w:val="1"/>
              </w:numPr>
              <w:autoSpaceDE w:val="0"/>
              <w:autoSpaceDN w:val="0"/>
              <w:adjustRightInd w:val="0"/>
              <w:spacing w:after="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Notificate – 0.</w:t>
            </w:r>
          </w:p>
          <w:p w:rsidR="008C5887" w:rsidRPr="008C5887" w:rsidRDefault="008C5887" w:rsidP="008C5887">
            <w:pPr>
              <w:spacing w:before="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 xml:space="preserve">--Am monitorizat activitatea funcţionarilor publici de execuţie, le-am  acordat asistenţa metodologică şi tehnică întru soluţionarea, în termen, a problemelor </w:t>
            </w:r>
            <w:r w:rsidRPr="008C5887">
              <w:rPr>
                <w:rFonts w:ascii="Times New Roman" w:eastAsiaTheme="minorEastAsia" w:hAnsi="Times New Roman" w:cs="Times New Roman"/>
                <w:b/>
                <w:sz w:val="24"/>
                <w:szCs w:val="24"/>
                <w:lang w:val="ro-MO" w:eastAsia="ro-RO"/>
              </w:rPr>
              <w:lastRenderedPageBreak/>
              <w:t>sau perfectarea documentelor.</w:t>
            </w:r>
          </w:p>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-N-a fost primită nici o contestaţie / sesizare de la cetăţeni sau organele solicitante, privind depăşirea termenilor de prezentare a diferitor documente sau calitatea lor.</w:t>
            </w:r>
          </w:p>
        </w:tc>
      </w:tr>
      <w:tr w:rsidR="008C5887" w:rsidRPr="008C5887" w:rsidTr="000E6A4D">
        <w:tc>
          <w:tcPr>
            <w:tcW w:w="648" w:type="dxa"/>
          </w:tcPr>
          <w:p w:rsidR="008C5887" w:rsidRPr="008C5887" w:rsidRDefault="008C5887" w:rsidP="008C5887">
            <w:pPr>
              <w:spacing w:after="0"/>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b/>
                <w:sz w:val="24"/>
                <w:szCs w:val="24"/>
                <w:lang w:val="ro-MO" w:eastAsia="ro-RO"/>
              </w:rPr>
              <w:lastRenderedPageBreak/>
              <w:t>4.</w:t>
            </w:r>
          </w:p>
        </w:tc>
        <w:tc>
          <w:tcPr>
            <w:tcW w:w="2702" w:type="dxa"/>
          </w:tcPr>
          <w:p w:rsidR="008C5887" w:rsidRPr="008C5887" w:rsidRDefault="008C5887" w:rsidP="008C5887">
            <w:pPr>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Să asigur  legalitatea actelor emise  de primar și de consiliul local și să le plasez în Registrul  Actelor Locale în vederea efectuării controlului administrativ.</w:t>
            </w:r>
          </w:p>
        </w:tc>
        <w:tc>
          <w:tcPr>
            <w:tcW w:w="2339"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Nr. minim de notificări ale Cancelariei de Stat</w:t>
            </w:r>
          </w:p>
        </w:tc>
        <w:tc>
          <w:tcPr>
            <w:tcW w:w="1260"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100 %</w:t>
            </w:r>
          </w:p>
        </w:tc>
        <w:tc>
          <w:tcPr>
            <w:tcW w:w="2879" w:type="dxa"/>
          </w:tcPr>
          <w:p w:rsidR="008C5887" w:rsidRPr="008C5887" w:rsidRDefault="008C5887" w:rsidP="008C5887">
            <w:pPr>
              <w:spacing w:before="60" w:after="60"/>
              <w:rPr>
                <w:rFonts w:ascii="Times New Roman" w:eastAsiaTheme="minorEastAsia" w:hAnsi="Times New Roman" w:cs="Times New Roman"/>
                <w:b/>
                <w:sz w:val="24"/>
                <w:szCs w:val="24"/>
                <w:lang w:val="ro-MO" w:eastAsia="ro-RO"/>
              </w:rPr>
            </w:pPr>
            <w:r w:rsidRPr="008C5887">
              <w:rPr>
                <w:rFonts w:ascii="Times New Roman" w:eastAsiaTheme="minorEastAsia" w:hAnsi="Times New Roman" w:cs="Times New Roman"/>
                <w:b/>
                <w:sz w:val="24"/>
                <w:szCs w:val="24"/>
                <w:lang w:val="ro-MO" w:eastAsia="ro-RO"/>
              </w:rPr>
              <w:t>APL Grozești  nu a primit în anul 2021 notificări ce vizează legalitatea actelor emise</w:t>
            </w:r>
          </w:p>
        </w:tc>
      </w:tr>
    </w:tbl>
    <w:p w:rsidR="008C5887" w:rsidRPr="008C5887" w:rsidRDefault="008C5887" w:rsidP="008C5887">
      <w:pPr>
        <w:spacing w:after="0"/>
        <w:jc w:val="both"/>
        <w:rPr>
          <w:rFonts w:ascii="Times New Roman" w:eastAsia="Times New Roman" w:hAnsi="Times New Roman" w:cs="Times New Roman"/>
          <w:sz w:val="24"/>
          <w:szCs w:val="24"/>
          <w:lang w:val="ro-MO" w:eastAsia="ro-RO"/>
        </w:rPr>
      </w:pPr>
    </w:p>
    <w:p w:rsidR="008C5887" w:rsidRPr="008C5887" w:rsidRDefault="008C5887" w:rsidP="008C5887">
      <w:pPr>
        <w:spacing w:after="0"/>
        <w:rPr>
          <w:rFonts w:ascii="Times New Roman" w:eastAsia="Times New Roman" w:hAnsi="Times New Roman" w:cs="Times New Roman"/>
          <w:b/>
          <w:color w:val="FF0000"/>
          <w:sz w:val="24"/>
          <w:szCs w:val="24"/>
          <w:lang w:val="ro-MO" w:eastAsia="ro-RO"/>
        </w:rPr>
      </w:pPr>
      <w:r w:rsidRPr="008C5887">
        <w:rPr>
          <w:rFonts w:ascii="Times New Roman" w:eastAsia="Times New Roman" w:hAnsi="Times New Roman" w:cs="Times New Roman"/>
          <w:sz w:val="24"/>
          <w:szCs w:val="24"/>
          <w:lang w:val="ro-MO" w:eastAsia="ro-RO"/>
        </w:rPr>
        <w:t xml:space="preserve">Ca rezultat ,  secretarul a fost evaluată pentru activitate în 2021 cu calificativul  </w:t>
      </w:r>
      <w:r w:rsidRPr="008C5887">
        <w:rPr>
          <w:rFonts w:ascii="Times New Roman" w:eastAsia="Times New Roman" w:hAnsi="Times New Roman" w:cs="Times New Roman"/>
          <w:b/>
          <w:sz w:val="24"/>
          <w:szCs w:val="24"/>
          <w:lang w:val="ro-MO" w:eastAsia="ro-RO"/>
        </w:rPr>
        <w:t xml:space="preserve">FOARTE  BINE.  </w:t>
      </w:r>
      <w:r w:rsidRPr="008C5887">
        <w:rPr>
          <w:rFonts w:ascii="Times New Roman" w:eastAsia="Times New Roman" w:hAnsi="Times New Roman" w:cs="Times New Roman"/>
          <w:b/>
          <w:color w:val="000000" w:themeColor="text1"/>
          <w:sz w:val="24"/>
          <w:szCs w:val="24"/>
          <w:lang w:val="ro-MO" w:eastAsia="ro-RO"/>
        </w:rPr>
        <w:t>Dar despre evaluare voi prezeenta o informație aparte.</w:t>
      </w:r>
      <w:r w:rsidRPr="008C5887">
        <w:rPr>
          <w:rFonts w:ascii="Times New Roman" w:eastAsia="Times New Roman" w:hAnsi="Times New Roman" w:cs="Times New Roman"/>
          <w:b/>
          <w:color w:val="FF0000"/>
          <w:sz w:val="24"/>
          <w:szCs w:val="24"/>
          <w:lang w:val="ro-MO" w:eastAsia="ro-RO"/>
        </w:rPr>
        <w:t xml:space="preserve"> </w:t>
      </w:r>
    </w:p>
    <w:p w:rsidR="008C5887" w:rsidRPr="008C5887" w:rsidRDefault="008C5887" w:rsidP="008C5887">
      <w:pPr>
        <w:spacing w:after="0"/>
        <w:rPr>
          <w:rFonts w:ascii="Times New Roman" w:eastAsia="Times New Roman" w:hAnsi="Times New Roman" w:cs="Times New Roman"/>
          <w:sz w:val="24"/>
          <w:szCs w:val="24"/>
          <w:lang w:val="ro-MO" w:eastAsia="ro-RO"/>
        </w:rPr>
      </w:pPr>
      <w:r w:rsidRPr="008C5887">
        <w:rPr>
          <w:rFonts w:ascii="Times New Roman" w:eastAsia="Times New Roman" w:hAnsi="Times New Roman" w:cs="Times New Roman"/>
          <w:sz w:val="24"/>
          <w:szCs w:val="24"/>
          <w:lang w:val="ro-MO" w:eastAsia="ro-RO"/>
        </w:rPr>
        <w:t xml:space="preserve">Desigur,  este loc de mai bine , necesități de autoperfecționare sunt încă multe. </w:t>
      </w:r>
    </w:p>
    <w:p w:rsidR="008C5887" w:rsidRPr="008C5887" w:rsidRDefault="008C5887" w:rsidP="008C5887">
      <w:pPr>
        <w:spacing w:after="0"/>
        <w:rPr>
          <w:rFonts w:ascii="Times New Roman" w:eastAsia="Times New Roman" w:hAnsi="Times New Roman" w:cs="Times New Roman"/>
          <w:b/>
          <w:sz w:val="24"/>
          <w:szCs w:val="24"/>
          <w:lang w:val="ro-MO" w:eastAsia="ro-RO"/>
        </w:rPr>
      </w:pPr>
      <w:r w:rsidRPr="008C5887">
        <w:rPr>
          <w:rFonts w:ascii="Times New Roman" w:eastAsia="Times New Roman" w:hAnsi="Times New Roman" w:cs="Times New Roman"/>
          <w:sz w:val="24"/>
          <w:szCs w:val="24"/>
          <w:lang w:val="ro-MO" w:eastAsia="ro-RO"/>
        </w:rPr>
        <w:t xml:space="preserve">Dar mai este cunoscut principiul: </w:t>
      </w:r>
      <w:r w:rsidRPr="008C5887">
        <w:rPr>
          <w:rFonts w:ascii="Times New Roman" w:eastAsia="Times New Roman" w:hAnsi="Times New Roman" w:cs="Times New Roman"/>
          <w:b/>
          <w:sz w:val="24"/>
          <w:szCs w:val="24"/>
          <w:lang w:val="ro-MO" w:eastAsia="ro-RO"/>
        </w:rPr>
        <w:t>cu cît mai multe cunoaște un om, cu atît cercul necunoașterii este mai mare.</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Cît privește  contribuția  personală a secretarului la performanța colectivă , pot trece în revistă următoarele acțiuni:</w:t>
      </w:r>
    </w:p>
    <w:p w:rsidR="008C5887" w:rsidRPr="008C5887" w:rsidRDefault="008C5887" w:rsidP="008C5887">
      <w:pPr>
        <w:numPr>
          <w:ilvl w:val="0"/>
          <w:numId w:val="15"/>
        </w:numPr>
        <w:spacing w:before="100" w:beforeAutospacing="1" w:after="100" w:afterAutospacing="1" w:line="240" w:lineRule="auto"/>
        <w:contextualSpacing/>
        <w:rPr>
          <w:rFonts w:ascii="Times New Roman" w:eastAsiaTheme="minorEastAsia" w:hAnsi="Times New Roman"/>
          <w:b/>
          <w:bCs/>
          <w:sz w:val="24"/>
          <w:szCs w:val="24"/>
          <w:lang w:val="en-US"/>
        </w:rPr>
      </w:pPr>
      <w:r w:rsidRPr="008C5887">
        <w:rPr>
          <w:rFonts w:ascii="Times New Roman" w:eastAsiaTheme="minorEastAsia" w:hAnsi="Times New Roman"/>
          <w:b/>
          <w:bCs/>
          <w:sz w:val="24"/>
          <w:szCs w:val="24"/>
          <w:lang w:val="en-US"/>
        </w:rPr>
        <w:t xml:space="preserve"> A </w:t>
      </w:r>
      <w:proofErr w:type="gramStart"/>
      <w:r w:rsidRPr="008C5887">
        <w:rPr>
          <w:rFonts w:ascii="Times New Roman" w:eastAsiaTheme="minorEastAsia" w:hAnsi="Times New Roman"/>
          <w:b/>
          <w:bCs/>
          <w:sz w:val="24"/>
          <w:szCs w:val="24"/>
          <w:lang w:val="en-US"/>
        </w:rPr>
        <w:t>elaborat ,</w:t>
      </w:r>
      <w:proofErr w:type="gramEnd"/>
      <w:r w:rsidRPr="008C5887">
        <w:rPr>
          <w:rFonts w:ascii="Times New Roman" w:eastAsiaTheme="minorEastAsia" w:hAnsi="Times New Roman"/>
          <w:b/>
          <w:bCs/>
          <w:sz w:val="24"/>
          <w:szCs w:val="24"/>
          <w:lang w:val="en-US"/>
        </w:rPr>
        <w:t xml:space="preserve"> de cele mai dese ori , fără ajutor ,  proiectele de decizii și dispoziții , regulamente , rapoarte etc. chiar dacă această nu intră în atribuțiile de serviciu.</w:t>
      </w:r>
    </w:p>
    <w:p w:rsidR="008C5887" w:rsidRPr="008C5887" w:rsidRDefault="008C5887" w:rsidP="008C5887">
      <w:pPr>
        <w:spacing w:before="100" w:beforeAutospacing="1" w:after="100" w:afterAutospacing="1" w:line="240" w:lineRule="auto"/>
        <w:jc w:val="center"/>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 xml:space="preserve">Dacă ar fi să trec în revistă activitățile zilnice ale unui secretar, ar arăta cam în felul următor: </w:t>
      </w:r>
    </w:p>
    <w:p w:rsidR="008C5887" w:rsidRPr="008C5887" w:rsidRDefault="008C5887" w:rsidP="008C5887">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Atribuţiile de serviciu a  secretarului Consiliului sătesc Grozești</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 Planifică şi organizează desfăşurarea şedinţelor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elaborează proiectul ordinei de zi a şedinţelor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înştiinţarea convocării consiliului sătesc , înştiinţează consilierii despre convocarea şedinţei, cu ordinea de zi, data, ora şi locul şedinţei, modul de familiarizare a consilierilor cu proiectele de decizii, cu avizele comisiilor de specialitate, cu rapoartele sau informaţiile conducătorilor subdiviziunilor subordonate, cu timpul acordat declaraţiilor politice, întrebărilor, interpelărilor, petiţiilor şi altor probleme care se supun examinării în şedinţa consiliului.</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pregăteşte materialele pe marginea problemelor supuse dezbaterii în consiliul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coordonează elaborarea planului de activitate a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lastRenderedPageBreak/>
        <w:t>întocmeşte rapoarte de activitate privind realizarea planului de activitate a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asigură asistenţă , pentru bună organizare a comisiilor consultative de specialitate; </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duce evidenţa prezenţei/absenţei consilierilor la şedinţele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participă la şedinţele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asistă preşedintele pe durata desfăşurării şedinţei consiliului sătesc;</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organizează procesul de votare a proiectelor de decizie înscrise în ordinea de zi;</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numără voturile şi consemnează rezultatul votării, pe care îl prezintă preşedintelui şedinţei; </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informează, în caz de necesitate, preşedintele şedinţei, despre numărul de voturi necesar pentru adoptarea unei sau altei decizii a consiliului;</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asigură efectuarea lucrărilor de secretariat aferente şedinţei consiliului </w:t>
      </w:r>
    </w:p>
    <w:p w:rsidR="008C5887" w:rsidRPr="008C5887" w:rsidRDefault="008C5887" w:rsidP="008C5887">
      <w:pPr>
        <w:numPr>
          <w:ilvl w:val="0"/>
          <w:numId w:val="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asigură întocmirea procesului-verbal al şedinţei, precumşi a dosarelor în care se păstrează materialele privind fiecare chestiune din ordinea de zi a şedinţei, legarea, numerotarea paginilor, semnarea şi ştampilarea acestora);</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2. Asigură legalitatea actelor adoptate de consiliul sătesc:</w:t>
      </w:r>
    </w:p>
    <w:p w:rsidR="008C5887" w:rsidRPr="008C5887" w:rsidRDefault="008C5887" w:rsidP="008C5887">
      <w:pPr>
        <w:numPr>
          <w:ilvl w:val="0"/>
          <w:numId w:val="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avizează proiectele de decizie ale consiliului sătesc şi contrasemneză deciziile;</w:t>
      </w:r>
    </w:p>
    <w:p w:rsidR="008C5887" w:rsidRPr="008C5887" w:rsidRDefault="008C5887" w:rsidP="008C5887">
      <w:pPr>
        <w:numPr>
          <w:ilvl w:val="0"/>
          <w:numId w:val="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refuză contrasemnarea deciziilor consiliului în cazul în care consideră că decizia consiliului este ilegală şi solicită reiexaminarea acesteia;</w:t>
      </w:r>
    </w:p>
    <w:p w:rsidR="008C5887" w:rsidRPr="008C5887" w:rsidRDefault="008C5887" w:rsidP="008C5887">
      <w:pPr>
        <w:numPr>
          <w:ilvl w:val="0"/>
          <w:numId w:val="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difinitivează deciziile consiliului sătesc ca urmare a dezbaterilor din cadrul şedinţelor şi le înaintează spre semnarea preşedintelui şedinţei;</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sz w:val="24"/>
          <w:szCs w:val="24"/>
          <w:lang w:val="ro-RO" w:eastAsia="ro-RO"/>
        </w:rPr>
        <w:t> </w:t>
      </w:r>
      <w:r w:rsidRPr="008C5887">
        <w:rPr>
          <w:rFonts w:ascii="Times New Roman" w:eastAsia="Times New Roman" w:hAnsi="Times New Roman" w:cs="Times New Roman"/>
          <w:b/>
          <w:bCs/>
          <w:sz w:val="24"/>
          <w:szCs w:val="24"/>
          <w:lang w:val="ro-RO" w:eastAsia="ro-RO"/>
        </w:rPr>
        <w:t xml:space="preserve">3. Asigură aducerea la cunoştinţă publică a deciziilor consiliului sătesc şi a dispoziţiilor </w:t>
      </w:r>
    </w:p>
    <w:p w:rsidR="008C5887" w:rsidRPr="008C5887" w:rsidRDefault="008C5887" w:rsidP="008C5887">
      <w:pPr>
        <w:spacing w:after="0"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 xml:space="preserve">    cu caracter normativ emise de primar:</w:t>
      </w:r>
    </w:p>
    <w:p w:rsidR="008C5887" w:rsidRPr="008C5887" w:rsidRDefault="008C5887" w:rsidP="008C5887">
      <w:pPr>
        <w:numPr>
          <w:ilvl w:val="0"/>
          <w:numId w:val="4"/>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aducerea la cunoştinţă publică a deciziilor consiliului sătesc şi a dispoziţiilor cu caracter normativ emise de primar;</w:t>
      </w:r>
    </w:p>
    <w:p w:rsidR="008C5887" w:rsidRPr="008C5887" w:rsidRDefault="008C5887" w:rsidP="008C5887">
      <w:pPr>
        <w:numPr>
          <w:ilvl w:val="0"/>
          <w:numId w:val="4"/>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comunicarea către autorităţile şi persoanele interesate sau vizate a deciziilor adoptate de către consiliul şi a dispoziţiilor cu caracter normativ emise de primar;</w:t>
      </w:r>
    </w:p>
    <w:p w:rsidR="008C5887" w:rsidRPr="008C5887" w:rsidRDefault="008C5887" w:rsidP="008C5887">
      <w:pPr>
        <w:numPr>
          <w:ilvl w:val="0"/>
          <w:numId w:val="4"/>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sensibilizază cetăţenii în probleme legate de participare la procesul decizional şi elaborarea politicilor publice locale;</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 xml:space="preserve">4. Asigurarea bunei funcţionări a primăriei </w:t>
      </w:r>
    </w:p>
    <w:p w:rsidR="008C5887" w:rsidRPr="008C5887" w:rsidRDefault="008C5887" w:rsidP="008C5887">
      <w:pPr>
        <w:numPr>
          <w:ilvl w:val="0"/>
          <w:numId w:val="5"/>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condiţiile necesare pentru buna activitate a funcţionarilor din cadrul primăriei ( birouri, mese, scaune, computere, imprimante, internet, scaner, copiator, rechizite de birou, etc.);</w:t>
      </w:r>
    </w:p>
    <w:p w:rsidR="008C5887" w:rsidRPr="008C5887" w:rsidRDefault="008C5887" w:rsidP="008C5887">
      <w:pPr>
        <w:numPr>
          <w:ilvl w:val="0"/>
          <w:numId w:val="5"/>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respectarea de către funcţionari din cadrul primăriei a obligaţiunilor de serviciu;</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5.Asigurarea efectuării lucrărilor de secretariat:</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primirea, distribuirea şi întreţinerea corespondenţei;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transmiterea acesteia în termenii stabiliţi;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întocmirea/ tehnoredactarea /coordonarea/ semnarea scrisorilor, rapoartelor, notelor informative, etc.;</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controlează îndeplinirea documentelor în termen şi în volum deplin;</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transmiterea documentaţiei în arhivă;</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întocmirea nomenclatorului dosarelor;</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înregistrarea dispoziţiilor emise de către primarul s.Grozești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lastRenderedPageBreak/>
        <w:t>asigură înregistrarea deciziilor adoptate de către consiliul sătesc Grozești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perfectează şi coordonează proiectele de dispoziţie pentru înregistrarea asociaţiilor obşteşti, ţine evidenţă asociaţiilor obşteşti şi coordonează planul de acţiuni /de colaborare cu ei;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transparenţa procesului decizional în administraţia publică locală (de a participa la orice etapă a procesului decizional; de a avea acces la informaţii, la proiectele de decizii, la ordinea de zi a şedinţei; de a propune iniţierea elaborării şi adoptării unor decizii;de a prezenta APL recomandări privind diverse proiecte de decizii supuse dezbaterilor);</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asigură transmiterea on- line  direcţiei teritoriale control administrativ: </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deciziile consiliului sătesc;</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dispoziţiile normative ale primarului;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dispoziţiile de angajare şi cele de eliberare a personalului administraţiei publice locale.</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procesul-verbal al fiecărei şedinţe a consiliului;</w:t>
      </w:r>
    </w:p>
    <w:p w:rsidR="008C5887" w:rsidRPr="008C5887" w:rsidRDefault="008C5887" w:rsidP="008C5887">
      <w:pPr>
        <w:numPr>
          <w:ilvl w:val="0"/>
          <w:numId w:val="6"/>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coordonează aplicarea Legii privind accesul la informaţie;</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6. Organizarea audienţei cetăţenilor.</w:t>
      </w:r>
    </w:p>
    <w:p w:rsidR="008C5887" w:rsidRPr="008C5887" w:rsidRDefault="008C5887" w:rsidP="008C5887">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primirea şi comunicarea cu vizitatorii serviciilor publice;</w:t>
      </w:r>
    </w:p>
    <w:p w:rsidR="008C5887" w:rsidRPr="008C5887" w:rsidRDefault="008C5887" w:rsidP="008C5887">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informaţiile necesare pentru pagina oficială a Primăriei s.Grozești.</w:t>
      </w:r>
    </w:p>
    <w:p w:rsidR="008C5887" w:rsidRPr="008C5887" w:rsidRDefault="008C5887" w:rsidP="008C5887">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este responsabilă de organizarea ,primirea şi însoţirea delegaţiilor oficiale la primărie.</w:t>
      </w:r>
    </w:p>
    <w:p w:rsidR="008C5887" w:rsidRPr="008C5887" w:rsidRDefault="008C5887" w:rsidP="008C5887">
      <w:pPr>
        <w:spacing w:after="0"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 xml:space="preserve">7. Eliberarea şi autentificarea actelor şi documentelor din arhiva primăriei şi </w:t>
      </w:r>
    </w:p>
    <w:p w:rsidR="008C5887" w:rsidRPr="008C5887" w:rsidRDefault="008C5887" w:rsidP="008C5887">
      <w:pPr>
        <w:spacing w:after="0"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 xml:space="preserve">     a  consiliului sătesc;</w:t>
      </w:r>
    </w:p>
    <w:p w:rsidR="008C5887" w:rsidRPr="008C5887" w:rsidRDefault="008C5887" w:rsidP="008C5887">
      <w:pPr>
        <w:numPr>
          <w:ilvl w:val="0"/>
          <w:numId w:val="8"/>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eliberează solicitanţilor copiile legalizate a deciziilor consiliului şi altor documente necesare; </w:t>
      </w:r>
    </w:p>
    <w:p w:rsidR="008C5887" w:rsidRPr="008C5887" w:rsidRDefault="008C5887" w:rsidP="008C5887">
      <w:pPr>
        <w:numPr>
          <w:ilvl w:val="0"/>
          <w:numId w:val="8"/>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legalizează copiilor conform actelor originale, aplicînd ştampila;</w:t>
      </w:r>
    </w:p>
    <w:p w:rsidR="008C5887" w:rsidRPr="008C5887" w:rsidRDefault="008C5887" w:rsidP="008C5887">
      <w:pPr>
        <w:spacing w:after="0"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8. Organizarea şi coordonarea activităţii serviciilor de stare civilă şi de protecţie socială</w:t>
      </w:r>
    </w:p>
    <w:p w:rsidR="008C5887" w:rsidRPr="008C5887" w:rsidRDefault="008C5887" w:rsidP="008C5887">
      <w:pPr>
        <w:spacing w:after="0"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 xml:space="preserve">     a  locuitorilor s. Grozești </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         Prestează servicii de stare civilă:</w:t>
      </w:r>
    </w:p>
    <w:p w:rsidR="008C5887" w:rsidRPr="008C5887" w:rsidRDefault="008C5887" w:rsidP="008C5887">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Înregistrarea actelor stării civile a căsătoriilor,naşterilor şi deceselor.</w:t>
      </w:r>
    </w:p>
    <w:p w:rsidR="008C5887" w:rsidRPr="008C5887" w:rsidRDefault="008C5887" w:rsidP="008C5887">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 Asigură activităţi de protecţie socială a locuitorilor ,a mamei şi a copilului, a persoanelor în etate, a persoanelor cu dizabilităţi ,de tutelă şi curatelă , care  revin Primăriei Grozești , de comun acord cu Serviciul de Asistență Socială Grozești ;</w:t>
      </w:r>
    </w:p>
    <w:p w:rsidR="008C5887" w:rsidRPr="008C5887" w:rsidRDefault="008C5887" w:rsidP="008C5887">
      <w:pPr>
        <w:spacing w:after="0" w:line="240" w:lineRule="auto"/>
        <w:rPr>
          <w:rFonts w:ascii="Times New Roman" w:eastAsia="Times New Roman" w:hAnsi="Times New Roman" w:cs="Times New Roman"/>
          <w:b/>
          <w:bCs/>
          <w:sz w:val="24"/>
          <w:szCs w:val="24"/>
          <w:lang w:val="ro-RO" w:eastAsia="ro-RO"/>
        </w:rPr>
      </w:pPr>
      <w:r w:rsidRPr="008C5887">
        <w:rPr>
          <w:rFonts w:ascii="Times New Roman" w:eastAsia="Times New Roman" w:hAnsi="Times New Roman" w:cs="Times New Roman"/>
          <w:b/>
          <w:bCs/>
          <w:sz w:val="24"/>
          <w:szCs w:val="24"/>
          <w:lang w:val="ro-RO" w:eastAsia="ro-RO"/>
        </w:rPr>
        <w:t xml:space="preserve">9. Acordarea ajutorului metodologic şi consultativ consilierilor, comisiilor consultative </w:t>
      </w:r>
    </w:p>
    <w:p w:rsidR="008C5887" w:rsidRPr="008C5887" w:rsidRDefault="008C5887" w:rsidP="008C5887">
      <w:pPr>
        <w:spacing w:after="0"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 xml:space="preserve">   de specialitate, comisiilor constituite de către primar şi consiliul sătesc:</w:t>
      </w:r>
    </w:p>
    <w:p w:rsidR="008C5887" w:rsidRPr="008C5887" w:rsidRDefault="008C5887" w:rsidP="008C5887">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acordă ajutor metodologic şi consultativ consilierilor;</w:t>
      </w:r>
    </w:p>
    <w:p w:rsidR="008C5887" w:rsidRPr="008C5887" w:rsidRDefault="008C5887" w:rsidP="008C5887">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participă şi consultă, după caz, consilierii la şedinţele comisiilor consultative de specialitate;</w:t>
      </w:r>
    </w:p>
    <w:p w:rsidR="008C5887" w:rsidRPr="008C5887" w:rsidRDefault="008C5887" w:rsidP="008C5887">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consultă consilierii în cadrul şedinţei în dependenţă de situaţie şi caz;</w:t>
      </w:r>
    </w:p>
    <w:p w:rsidR="008C5887" w:rsidRPr="008C5887" w:rsidRDefault="008C5887" w:rsidP="008C5887">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acordă asistenţă şi sprijin în activitatea comisiilor consultative de specialitate, inclusiv la redactarea proiectelor de decizii sau la definitivarea celor discutate şi aprobate de comisie;</w:t>
      </w:r>
    </w:p>
    <w:p w:rsidR="008C5887" w:rsidRPr="008C5887" w:rsidRDefault="008C5887" w:rsidP="008C5887">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acordă asistenţă la organizarea şi buna desfăşurare a şedinţelor comisiilor consultative de specialitate (înştiinţarea membrilor comisiei şi persoanelor interesate sau vizate, </w:t>
      </w:r>
      <w:r w:rsidRPr="008C5887">
        <w:rPr>
          <w:rFonts w:ascii="Times New Roman" w:eastAsia="Times New Roman" w:hAnsi="Times New Roman" w:cs="Times New Roman"/>
          <w:sz w:val="24"/>
          <w:szCs w:val="24"/>
          <w:lang w:val="ro-RO" w:eastAsia="ro-RO"/>
        </w:rPr>
        <w:lastRenderedPageBreak/>
        <w:t>perfectarea ordinei de zi, perfectarea /eliberarea blanchetei: procesului -verbal a comisiei, avizul comisiilor).</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10.Ţinera evidenţei gospodăriilor populaţiei,conform registrului aprobat de Guvern.</w:t>
      </w:r>
    </w:p>
    <w:p w:rsidR="008C5887" w:rsidRPr="008C5887" w:rsidRDefault="008C5887" w:rsidP="008C5887">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deschiderea conturilor personale a tuturor gospodăriilor din localitate şi a membrilor lor;</w:t>
      </w:r>
    </w:p>
    <w:p w:rsidR="008C5887" w:rsidRPr="008C5887" w:rsidRDefault="008C5887" w:rsidP="008C5887">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Verificarea datelor din registru în fiecare început de an calendaristic.</w:t>
      </w:r>
    </w:p>
    <w:p w:rsidR="008C5887" w:rsidRPr="008C5887" w:rsidRDefault="008C5887" w:rsidP="008C5887">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 xml:space="preserve">Prezentarea raportului statistic despre efectivul animalelor şi păsărilor </w:t>
      </w:r>
    </w:p>
    <w:p w:rsidR="008C5887" w:rsidRPr="008C5887" w:rsidRDefault="008C5887" w:rsidP="008C5887">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Completarea indicatorilor sociali-economici,care caracterizează condiţiile de trai ale populaţiei localităţii la situaţia de la 1 ianuarie a fiecărui an calendaristic.</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11.Îndeplinirea  actelor notariale conform Legii cu privire la notariat.</w:t>
      </w:r>
    </w:p>
    <w:p w:rsidR="008C5887" w:rsidRPr="008C5887" w:rsidRDefault="008C5887" w:rsidP="008C5887">
      <w:pPr>
        <w:numPr>
          <w:ilvl w:val="0"/>
          <w:numId w:val="12"/>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Perfectarea și eliberarea documentelor ( inslusiv, de Arhivă ) pentru deschiderea Dosarelor de succesiune de către notar.</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12. Păstrarea şi aplicarea sigiliului după caz.</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13. Gestionarea resurselor umane a primăriei.</w:t>
      </w:r>
    </w:p>
    <w:p w:rsidR="008C5887" w:rsidRPr="008C5887" w:rsidRDefault="008C5887" w:rsidP="008C5887">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păstrarea dosarelor funcţionarilor publici;</w:t>
      </w:r>
    </w:p>
    <w:p w:rsidR="008C5887" w:rsidRPr="008C5887" w:rsidRDefault="008C5887" w:rsidP="008C5887">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păstrarea contractelor de muncă a angajaţilor;</w:t>
      </w:r>
    </w:p>
    <w:p w:rsidR="008C5887" w:rsidRPr="008C5887" w:rsidRDefault="008C5887" w:rsidP="008C5887">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Duce evidenţa timpului de lucru a angajaţilor Primăriei şi a consilierilor Consiliului sătesc Grozești .</w:t>
      </w:r>
    </w:p>
    <w:p w:rsidR="008C5887" w:rsidRPr="008C5887" w:rsidRDefault="008C5887" w:rsidP="008C5887">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păstrarea fişelor de evidenţă a consilierilor.</w:t>
      </w:r>
    </w:p>
    <w:p w:rsidR="008C5887" w:rsidRPr="008C5887" w:rsidRDefault="008C5887" w:rsidP="008C5887">
      <w:p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b/>
          <w:bCs/>
          <w:sz w:val="24"/>
          <w:szCs w:val="24"/>
          <w:lang w:val="ro-RO" w:eastAsia="ro-RO"/>
        </w:rPr>
        <w:t>15. Organizarea desfăşurării procesului electoral.</w:t>
      </w:r>
    </w:p>
    <w:p w:rsidR="008C5887" w:rsidRPr="008C5887" w:rsidRDefault="008C5887" w:rsidP="008C5887">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înaintează propuneri/candidaturi consiliului sătesc în componenţa biroului electoral de circumscripţie;</w:t>
      </w:r>
    </w:p>
    <w:p w:rsidR="008C5887" w:rsidRPr="008C5887" w:rsidRDefault="008C5887" w:rsidP="008C5887">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8C5887">
        <w:rPr>
          <w:rFonts w:ascii="Times New Roman" w:eastAsia="Times New Roman" w:hAnsi="Times New Roman" w:cs="Times New Roman"/>
          <w:sz w:val="24"/>
          <w:szCs w:val="24"/>
          <w:lang w:val="ro-RO" w:eastAsia="ro-RO"/>
        </w:rPr>
        <w:t>asigură organizarea întocmirii şi verificarea listelor electorale;</w:t>
      </w:r>
    </w:p>
    <w:p w:rsidR="008C5887" w:rsidRPr="008C5887" w:rsidRDefault="008C5887" w:rsidP="008C5887">
      <w:pPr>
        <w:numPr>
          <w:ilvl w:val="0"/>
          <w:numId w:val="14"/>
        </w:numPr>
        <w:spacing w:before="100" w:beforeAutospacing="1" w:after="100" w:afterAutospacing="1" w:line="240" w:lineRule="auto"/>
        <w:contextualSpacing/>
        <w:rPr>
          <w:rFonts w:ascii="Times New Roman" w:eastAsiaTheme="minorEastAsia" w:hAnsi="Times New Roman"/>
          <w:sz w:val="24"/>
          <w:szCs w:val="24"/>
          <w:lang w:val="en-US"/>
        </w:rPr>
      </w:pPr>
      <w:r w:rsidRPr="008C5887">
        <w:rPr>
          <w:rFonts w:ascii="Times New Roman" w:eastAsiaTheme="minorEastAsia" w:hAnsi="Times New Roman"/>
          <w:sz w:val="24"/>
          <w:szCs w:val="24"/>
          <w:lang w:val="en-US"/>
        </w:rPr>
        <w:t>asigură condiţii pentru desfăşurarea întrunirilor cu concurenţii electorali;</w:t>
      </w:r>
    </w:p>
    <w:p w:rsidR="008C5887" w:rsidRPr="008C5887" w:rsidRDefault="008C5887" w:rsidP="008C5887">
      <w:pPr>
        <w:spacing w:line="360" w:lineRule="auto"/>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În Raportul prezentat în ședința </w:t>
      </w:r>
      <w:proofErr w:type="gramStart"/>
      <w:r w:rsidRPr="008C5887">
        <w:rPr>
          <w:rFonts w:ascii="Times New Roman" w:eastAsiaTheme="minorEastAsia" w:hAnsi="Times New Roman" w:cs="Times New Roman"/>
          <w:sz w:val="24"/>
          <w:szCs w:val="24"/>
          <w:lang w:val="en-US" w:eastAsia="ro-RO"/>
        </w:rPr>
        <w:t xml:space="preserve">din  </w:t>
      </w:r>
      <w:r w:rsidRPr="008C5887">
        <w:rPr>
          <w:rFonts w:ascii="Times New Roman" w:eastAsiaTheme="minorEastAsia" w:hAnsi="Times New Roman" w:cs="Times New Roman"/>
          <w:b/>
          <w:color w:val="000000" w:themeColor="text1"/>
          <w:sz w:val="24"/>
          <w:szCs w:val="24"/>
          <w:lang w:val="en-US" w:eastAsia="ro-RO"/>
        </w:rPr>
        <w:t>06.12</w:t>
      </w:r>
      <w:proofErr w:type="gramEnd"/>
      <w:r w:rsidRPr="008C5887">
        <w:rPr>
          <w:rFonts w:ascii="Times New Roman" w:eastAsiaTheme="minorEastAsia" w:hAnsi="Times New Roman" w:cs="Times New Roman"/>
          <w:b/>
          <w:color w:val="000000" w:themeColor="text1"/>
          <w:sz w:val="24"/>
          <w:szCs w:val="24"/>
          <w:lang w:val="en-US" w:eastAsia="ro-RO"/>
        </w:rPr>
        <w:t>. 2021</w:t>
      </w:r>
      <w:r w:rsidRPr="008C5887">
        <w:rPr>
          <w:rFonts w:ascii="Times New Roman" w:eastAsiaTheme="minorEastAsia" w:hAnsi="Times New Roman" w:cs="Times New Roman"/>
          <w:sz w:val="24"/>
          <w:szCs w:val="24"/>
          <w:lang w:val="en-US" w:eastAsia="ro-RO"/>
        </w:rPr>
        <w:t xml:space="preserve"> privind transparenșa  decizională , secretarul a punctat, că  , Primăria Grozești ar trebui să sprijine  inițiativa cetăţenească şi să implementeze  proiecte comunitare    , să susțină  crearea consiliilor active pe zone ale localității ,ca un nou mijloc de exprimare și informare pentru cetăţeni și implicare a acestora în procesul decizional, în acest mod,implementînd mai activ prevederile Legii privind transparenţa în procesul decizional, marcând o nouă modalitate eficientă de colaborare în procesul de elaborare a politicilor publice şi de luare a deciziilor la nivel local.</w:t>
      </w:r>
    </w:p>
    <w:p w:rsidR="008C5887" w:rsidRPr="008C5887" w:rsidRDefault="008C5887" w:rsidP="008C5887">
      <w:pPr>
        <w:spacing w:after="120" w:line="360" w:lineRule="auto"/>
        <w:contextualSpacing/>
        <w:jc w:val="center"/>
        <w:rPr>
          <w:rFonts w:ascii="Times New Roman" w:eastAsiaTheme="minorEastAsia" w:hAnsi="Times New Roman"/>
          <w:b/>
          <w:sz w:val="24"/>
          <w:szCs w:val="24"/>
          <w:lang w:val="en-US"/>
        </w:rPr>
      </w:pPr>
      <w:r w:rsidRPr="008C5887">
        <w:rPr>
          <w:rFonts w:ascii="Times New Roman" w:eastAsiaTheme="minorEastAsia" w:hAnsi="Times New Roman"/>
          <w:b/>
          <w:sz w:val="24"/>
          <w:szCs w:val="24"/>
          <w:lang w:val="en-US"/>
        </w:rPr>
        <w:t xml:space="preserve">Asta dacă ne dorim </w:t>
      </w:r>
      <w:proofErr w:type="gramStart"/>
      <w:r w:rsidRPr="008C5887">
        <w:rPr>
          <w:rFonts w:ascii="Times New Roman" w:eastAsiaTheme="minorEastAsia" w:hAnsi="Times New Roman"/>
          <w:b/>
          <w:sz w:val="24"/>
          <w:szCs w:val="24"/>
          <w:lang w:val="en-US"/>
        </w:rPr>
        <w:t xml:space="preserve">o </w:t>
      </w:r>
      <w:r w:rsidRPr="008C5887">
        <w:rPr>
          <w:rFonts w:ascii="Times New Roman" w:eastAsiaTheme="minorEastAsia" w:hAnsi="Times New Roman"/>
          <w:sz w:val="24"/>
          <w:szCs w:val="24"/>
          <w:lang w:val="en-US"/>
        </w:rPr>
        <w:t xml:space="preserve"> </w:t>
      </w:r>
      <w:r w:rsidRPr="008C5887">
        <w:rPr>
          <w:rFonts w:ascii="Times New Roman" w:eastAsiaTheme="minorEastAsia" w:hAnsi="Times New Roman"/>
          <w:b/>
          <w:sz w:val="24"/>
          <w:szCs w:val="24"/>
          <w:lang w:val="en-US"/>
        </w:rPr>
        <w:t>dezvoltare</w:t>
      </w:r>
      <w:proofErr w:type="gramEnd"/>
      <w:r w:rsidRPr="008C5887">
        <w:rPr>
          <w:rFonts w:ascii="Times New Roman" w:eastAsiaTheme="minorEastAsia" w:hAnsi="Times New Roman"/>
          <w:b/>
          <w:sz w:val="24"/>
          <w:szCs w:val="24"/>
          <w:lang w:val="en-US"/>
        </w:rPr>
        <w:t xml:space="preserve"> autentică  a capacităţii administrative  a</w:t>
      </w:r>
    </w:p>
    <w:p w:rsidR="008C5887" w:rsidRPr="008C5887" w:rsidRDefault="008C5887" w:rsidP="008C5887">
      <w:pPr>
        <w:spacing w:after="120" w:line="360" w:lineRule="auto"/>
        <w:jc w:val="center"/>
        <w:rPr>
          <w:rFonts w:ascii="Times New Roman" w:eastAsiaTheme="minorEastAsia" w:hAnsi="Times New Roman"/>
          <w:b/>
          <w:sz w:val="24"/>
          <w:szCs w:val="24"/>
          <w:lang w:val="ro-RO" w:eastAsia="ro-RO"/>
        </w:rPr>
      </w:pPr>
      <w:r w:rsidRPr="008C5887">
        <w:rPr>
          <w:rFonts w:ascii="Times New Roman" w:eastAsiaTheme="minorEastAsia" w:hAnsi="Times New Roman"/>
          <w:b/>
          <w:sz w:val="24"/>
          <w:szCs w:val="24"/>
          <w:lang w:val="ro-RO" w:eastAsia="ro-RO"/>
        </w:rPr>
        <w:t>autorităţilor  administraţiei publice locale a  satului  Grozeşti .</w:t>
      </w:r>
    </w:p>
    <w:p w:rsidR="008C5887" w:rsidRPr="008C5887" w:rsidRDefault="008C5887" w:rsidP="008C5887">
      <w:pPr>
        <w:spacing w:after="120" w:line="360" w:lineRule="auto"/>
        <w:jc w:val="center"/>
        <w:rPr>
          <w:rFonts w:ascii="Times New Roman" w:eastAsiaTheme="minorEastAsia" w:hAnsi="Times New Roman" w:cs="Times New Roman"/>
          <w:sz w:val="24"/>
          <w:szCs w:val="24"/>
          <w:lang w:val="en-US" w:eastAsia="ro-RO"/>
        </w:rPr>
      </w:pPr>
    </w:p>
    <w:p w:rsidR="008C5887" w:rsidRPr="008C5887" w:rsidRDefault="008C5887" w:rsidP="008C5887">
      <w:pPr>
        <w:spacing w:after="0" w:line="240" w:lineRule="auto"/>
        <w:jc w:val="center"/>
        <w:rPr>
          <w:rFonts w:ascii="Times New Roman" w:eastAsiaTheme="minorEastAsia" w:hAnsi="Times New Roman" w:cs="Times New Roman"/>
          <w:b/>
          <w:sz w:val="28"/>
          <w:szCs w:val="28"/>
          <w:u w:val="single"/>
          <w:lang w:val="ro-RO" w:eastAsia="ro-RO"/>
        </w:rPr>
      </w:pPr>
      <w:r w:rsidRPr="008C5887">
        <w:rPr>
          <w:rFonts w:ascii="Times New Roman" w:eastAsiaTheme="minorEastAsia" w:hAnsi="Times New Roman" w:cs="Times New Roman"/>
          <w:b/>
          <w:sz w:val="28"/>
          <w:szCs w:val="28"/>
          <w:u w:val="single"/>
          <w:lang w:val="ro-RO" w:eastAsia="ro-RO"/>
        </w:rPr>
        <w:t>În domeniul Managementului  finanţelor publice , funcţionarul public, contabil-şef,  Fonari Natalia , are urmatoarele atributii:</w:t>
      </w:r>
    </w:p>
    <w:p w:rsidR="008C5887" w:rsidRPr="008C5887" w:rsidRDefault="008C5887" w:rsidP="008C5887">
      <w:pPr>
        <w:spacing w:after="0" w:line="240" w:lineRule="auto"/>
        <w:rPr>
          <w:rFonts w:ascii="Calibri" w:eastAsia="Calibri" w:hAnsi="Calibri" w:cs="Times New Roman"/>
          <w:b/>
          <w:sz w:val="24"/>
          <w:szCs w:val="24"/>
          <w:lang w:val="ro-RO" w:eastAsia="ro-RO"/>
        </w:rPr>
      </w:pP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Efectuiază operaţiunile bancare(plăţi furnizori, ordine de plată bugetare,extrabugetare etc) ;</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Înscrie în registre operaţiunile efectuate (ordine de plată, remiteri bancare, emitere facturi, evidenţa încasări);</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Întocmeşte, contabilizează şi verifică lunar facturile fiscale emise;</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Întocmeşte componente ale soldurilor conturilor şi efectuiază reglări pe baza acestora ;</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Duce catalogul principal, registrele de venituri şi cheltuieli ale bugetului</w:t>
      </w:r>
      <w:r w:rsidRPr="008C5887">
        <w:rPr>
          <w:rFonts w:ascii="Times New Roman" w:eastAsia="Calibri" w:hAnsi="Times New Roman" w:cs="Times New Roman"/>
          <w:sz w:val="24"/>
          <w:szCs w:val="24"/>
          <w:lang w:val="en-US" w:eastAsia="ro-RO"/>
        </w:rPr>
        <w:t>;</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Duce evidenţa actelor de revizii şi controale a activităţii financiar-bancare, a actelor,listelor pe chestiunile de inventariere a materialelor de preţ</w:t>
      </w:r>
      <w:r w:rsidRPr="008C5887">
        <w:rPr>
          <w:rFonts w:ascii="Times New Roman" w:eastAsia="Calibri" w:hAnsi="Times New Roman" w:cs="Times New Roman"/>
          <w:sz w:val="24"/>
          <w:szCs w:val="24"/>
          <w:lang w:val="en-US" w:eastAsia="ro-RO"/>
        </w:rPr>
        <w:t>;</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Efectuiază transferurile bancare;</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Asigură organizarea corectă a evidenţei contabile în conformitate cu prezenta instruucţiune  şi unele indicaţii;</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Elaborează calcule de deviz pentru proiectul bugetului satului ;</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Elaborează în comun cu conducătorii instituţiilor deservite, a proiectelor de deviz şi examinarea lor împreună cu primarul;</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Urmăreşte decontările veniturilor, cheltuielilor cu bugetul de alt nivel pentru mijloacele primite şi transmise ;</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Asigură integritatea mijloacelor băneşti,controlul asupra integrităţii şi utilizării corecte a fondurilor fixe, obiectelor de mică valoare, produselor alimentare şi altori valori materiale  ;</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Întocmeşte dările de seamă trimestriale, anuale despre executarea bugetului  primăriei în termenele stabilite de către Direcţia Finanţe Nisporeni;</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Participă la seminare organizate cu contabilii-şefi  de către Direcţia Finanţe Nisporeni privind modificările şi schmbările în actele normative şi Instrucţiunile Ministerului de Finanţe</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Intocmeste darile de seama, lunare,  trimestriale si anuale privind calcularea si utillizarea contributiilor sociale de stat si obligatorii, Darile de seama privind suma venitului achitat si impozitul pe venit retinut din acectea, darea de seama privind calcularea primelor de asigurare obligatorie de asistenta medicala in termenii stabiliti de CTAS Nisporeni si Inspectoratul Fiscal Nisporeni</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Analizează rapoartele financiare ale Primăriei, precum şi ale executorilor (ordonatorilor)de buget, şi raportează rezultate  autorităţilor publice locale, consiliului sătesc</w:t>
      </w:r>
    </w:p>
    <w:p w:rsidR="008C5887" w:rsidRPr="008C5887" w:rsidRDefault="008C5887" w:rsidP="008C5887">
      <w:pPr>
        <w:numPr>
          <w:ilvl w:val="0"/>
          <w:numId w:val="32"/>
        </w:numPr>
        <w:spacing w:after="0" w:line="240" w:lineRule="auto"/>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Poartă răspundere de arhivarea şi păstrarea documentaţiei contabilităţii bugetare</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Calibri" w:hAnsi="Times New Roman" w:cs="Times New Roman"/>
          <w:sz w:val="24"/>
          <w:szCs w:val="24"/>
          <w:lang w:val="ro-RO" w:eastAsia="ro-RO"/>
        </w:rPr>
        <w:t>Elaborează propuneri privind optimizarea cheltuielilor bugetare ,  neafectînd activitatea instituţiilor.Totodată, răspunde</w:t>
      </w:r>
      <w:r w:rsidRPr="008C5887">
        <w:rPr>
          <w:rFonts w:ascii="Times New Roman" w:eastAsia="Calibri" w:hAnsi="Times New Roman" w:cs="Times New Roman"/>
          <w:sz w:val="24"/>
          <w:szCs w:val="24"/>
          <w:lang w:val="en-US" w:eastAsia="ro-RO"/>
        </w:rPr>
        <w:t>:</w:t>
      </w:r>
    </w:p>
    <w:p w:rsidR="008C5887" w:rsidRPr="008C5887" w:rsidRDefault="008C5887" w:rsidP="008C5887">
      <w:pPr>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  de corectitudinea evidenţei contabile ;- de realizarea calitativă şi în termen a lucrărilor;-  de respectarea legalităţii ;- de  exactitatea datelor furnizate ;-  de prezentarea dărilor de seamă trimestriale şi anuale, în termenii stabiliţi de Direcţia Finanţe Nnisporeni, CTAS Nisporeni, Inspectoratul Fiscal Nisoreni</w:t>
      </w:r>
      <w:r w:rsidRPr="008C5887">
        <w:rPr>
          <w:rFonts w:ascii="Times New Roman" w:eastAsia="Calibri" w:hAnsi="Times New Roman" w:cs="Times New Roman"/>
          <w:sz w:val="24"/>
          <w:szCs w:val="24"/>
          <w:lang w:val="en-US" w:eastAsia="ro-RO"/>
        </w:rPr>
        <w:t>;</w:t>
      </w:r>
      <w:r w:rsidRPr="008C5887">
        <w:rPr>
          <w:rFonts w:ascii="Times New Roman" w:eastAsia="Calibri" w:hAnsi="Times New Roman" w:cs="Times New Roman"/>
          <w:sz w:val="24"/>
          <w:szCs w:val="24"/>
          <w:lang w:val="ro-RO" w:eastAsia="ro-RO"/>
        </w:rPr>
        <w:t>- de  contrasemnarea documentelor ;- de  administrarea  bunurilor care se află la balansa          Primăriei;- de calcularea şi achitarea, în termenele stabilite a salariilor angajaţilor instituţiilor deservite şi primărie;- de  administrarea sediul primăriei şi bunurile ei ;-de  evidenţa statelor de retribuţii(listele de decontare şi de plată)-de  evidenţa procurilor pentru primirea valorilor materiale-de evidenta si executarea contractelor cu agentii economici si persoane fizice</w:t>
      </w:r>
    </w:p>
    <w:p w:rsidR="008C5887" w:rsidRPr="008C5887" w:rsidRDefault="008C5887" w:rsidP="008C5887">
      <w:pPr>
        <w:rPr>
          <w:rFonts w:ascii="Times New Roman" w:eastAsia="Calibri" w:hAnsi="Times New Roman" w:cs="Times New Roman"/>
          <w:sz w:val="24"/>
          <w:szCs w:val="24"/>
          <w:lang w:val="ro-RO" w:eastAsia="ro-RO"/>
        </w:rPr>
      </w:pPr>
      <w:r w:rsidRPr="008C5887">
        <w:rPr>
          <w:rFonts w:ascii="Times New Roman" w:eastAsia="Calibri" w:hAnsi="Times New Roman" w:cs="Times New Roman"/>
          <w:sz w:val="24"/>
          <w:szCs w:val="24"/>
          <w:lang w:val="ro-RO" w:eastAsia="ro-RO"/>
        </w:rPr>
        <w:t>- de  păstrarea confidenţialităţii şi secretului de stat.</w:t>
      </w:r>
    </w:p>
    <w:p w:rsidR="008C5887" w:rsidRPr="008C5887" w:rsidRDefault="008C5887" w:rsidP="008C5887">
      <w:pPr>
        <w:rPr>
          <w:rFonts w:eastAsiaTheme="minorEastAsia"/>
          <w:lang w:val="en-US" w:eastAsia="ro-RO"/>
        </w:rPr>
      </w:pPr>
    </w:p>
    <w:p w:rsidR="008C5887" w:rsidRPr="008C5887" w:rsidRDefault="008C5887" w:rsidP="008C5887">
      <w:pPr>
        <w:jc w:val="center"/>
        <w:rPr>
          <w:rFonts w:ascii="Times New Roman" w:eastAsiaTheme="minorEastAsia" w:hAnsi="Times New Roman" w:cs="Times New Roman"/>
          <w:b/>
          <w:sz w:val="28"/>
          <w:szCs w:val="28"/>
          <w:lang w:val="en-US" w:eastAsia="ro-RO"/>
        </w:rPr>
      </w:pPr>
      <w:r w:rsidRPr="008C5887">
        <w:rPr>
          <w:rFonts w:ascii="Times New Roman" w:eastAsiaTheme="minorEastAsia" w:hAnsi="Times New Roman" w:cs="Times New Roman"/>
          <w:b/>
          <w:sz w:val="28"/>
          <w:szCs w:val="28"/>
          <w:lang w:val="en-US" w:eastAsia="ro-RO"/>
        </w:rPr>
        <w:lastRenderedPageBreak/>
        <w:t xml:space="preserve"> Activitatea contabilului–</w:t>
      </w:r>
      <w:proofErr w:type="gramStart"/>
      <w:r w:rsidRPr="008C5887">
        <w:rPr>
          <w:rFonts w:ascii="Times New Roman" w:eastAsiaTheme="minorEastAsia" w:hAnsi="Times New Roman" w:cs="Times New Roman"/>
          <w:b/>
          <w:sz w:val="28"/>
          <w:szCs w:val="28"/>
          <w:lang w:val="ro-RO" w:eastAsia="ro-RO"/>
        </w:rPr>
        <w:t>ş</w:t>
      </w:r>
      <w:r w:rsidRPr="008C5887">
        <w:rPr>
          <w:rFonts w:ascii="Times New Roman" w:eastAsiaTheme="minorEastAsia" w:hAnsi="Times New Roman" w:cs="Times New Roman"/>
          <w:b/>
          <w:sz w:val="28"/>
          <w:szCs w:val="28"/>
          <w:lang w:val="en-US" w:eastAsia="ro-RO"/>
        </w:rPr>
        <w:t>ef  pe</w:t>
      </w:r>
      <w:proofErr w:type="gramEnd"/>
      <w:r w:rsidRPr="008C5887">
        <w:rPr>
          <w:rFonts w:ascii="Times New Roman" w:eastAsiaTheme="minorEastAsia" w:hAnsi="Times New Roman" w:cs="Times New Roman"/>
          <w:b/>
          <w:sz w:val="28"/>
          <w:szCs w:val="28"/>
          <w:lang w:val="en-US" w:eastAsia="ro-RO"/>
        </w:rPr>
        <w:t xml:space="preserve"> perioada anului  2021 :</w:t>
      </w:r>
    </w:p>
    <w:p w:rsidR="008C5887" w:rsidRPr="008C5887" w:rsidRDefault="008C5887" w:rsidP="008C5887">
      <w:pPr>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Politica de contabilitate a Primariei satului Grozesti este elaborata in conformitate cu cerintele si prevederile stipulate </w:t>
      </w:r>
      <w:proofErr w:type="gramStart"/>
      <w:r w:rsidRPr="008C5887">
        <w:rPr>
          <w:rFonts w:ascii="Times New Roman" w:eastAsiaTheme="minorEastAsia" w:hAnsi="Times New Roman" w:cs="Times New Roman"/>
          <w:sz w:val="24"/>
          <w:szCs w:val="24"/>
          <w:lang w:val="en-US" w:eastAsia="ro-RO"/>
        </w:rPr>
        <w:t>in :</w:t>
      </w:r>
      <w:proofErr w:type="gramEnd"/>
    </w:p>
    <w:p w:rsidR="008C5887" w:rsidRPr="008C5887" w:rsidRDefault="008C5887" w:rsidP="008C5887">
      <w:pPr>
        <w:numPr>
          <w:ilvl w:val="0"/>
          <w:numId w:val="37"/>
        </w:numPr>
        <w:contextualSpacing/>
        <w:jc w:val="both"/>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Legea contabilitatii nr 113-XYI din 27 aprilie 2007;</w:t>
      </w:r>
    </w:p>
    <w:p w:rsidR="008C5887" w:rsidRPr="008C5887" w:rsidRDefault="008C5887" w:rsidP="008C5887">
      <w:pPr>
        <w:numPr>
          <w:ilvl w:val="0"/>
          <w:numId w:val="37"/>
        </w:numPr>
        <w:contextualSpacing/>
        <w:jc w:val="both"/>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 xml:space="preserve">Planul de conturi contabile in sistemul bugetar si normele metodologice privind evidenta contabila si raportarea financiara in sistemul bugetar, anexa nr.1 la Ordinul ministrului finantelor nr 216 din 28.12.2015 modificat prin </w:t>
      </w:r>
      <w:hyperlink r:id="rId6" w:history="1">
        <w:r w:rsidRPr="008C5887">
          <w:rPr>
            <w:rFonts w:ascii="Georgia" w:eastAsiaTheme="minorEastAsia" w:hAnsi="Georgia"/>
            <w:i/>
            <w:iCs/>
            <w:u w:val="single"/>
            <w:shd w:val="clear" w:color="auto" w:fill="FFFFFF"/>
            <w:lang w:val="en-US"/>
          </w:rPr>
          <w:t>OMF6 din 18.01.21, MO33-41/05.02.21 art.109; în vigoare 05.02.21</w:t>
        </w:r>
      </w:hyperlink>
      <w:r w:rsidRPr="008C5887">
        <w:rPr>
          <w:rFonts w:eastAsiaTheme="minorEastAsia"/>
          <w:lang w:val="en-US"/>
        </w:rPr>
        <w:t>;</w:t>
      </w:r>
    </w:p>
    <w:p w:rsidR="008C5887" w:rsidRPr="008C5887" w:rsidRDefault="008C5887" w:rsidP="008C5887">
      <w:pPr>
        <w:numPr>
          <w:ilvl w:val="0"/>
          <w:numId w:val="37"/>
        </w:numPr>
        <w:contextualSpacing/>
        <w:jc w:val="both"/>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Acte normative privind evidenta  contabila in institutiile bugetare;</w:t>
      </w:r>
    </w:p>
    <w:p w:rsidR="008C5887" w:rsidRPr="008C5887" w:rsidRDefault="008C5887" w:rsidP="008C5887">
      <w:pPr>
        <w:numPr>
          <w:ilvl w:val="0"/>
          <w:numId w:val="37"/>
        </w:numPr>
        <w:contextualSpacing/>
        <w:jc w:val="both"/>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Alte acte legislative si normative in vigoare.</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Pe parcursul anului 2021 mi-am propus sa organizez si sa efectuiez corect evidenta contabila, sa efectuiez controlul preventiv asupra intocmirii corecte si la timp a documentelor primare si legalitatii operatiilor efectuate, calcularea la timp a salariilor,indemnizatiilor si altor plati angajatilor, sa efectuiez la timp decontarea cu persoanele juridice si cu persoanele fizice, sa efectuiez  corect si la timp inventarierea bunurilor si sa le reflect in evidenta contabila, sa intocmesc  trimestrial si anual bilantul executarii bugetului APL, inclusiv a institutiilor acesteia  si sa le prezint in termenii stabiliti la Directia Finante Nisporeni. De asemenea pe parcursul anului 2021  mi-am propus sa efectuiez planificarea bugetului pentru anul 2022 la capitolul venituri si cheltuieli care s-a efectuat in cadrul  Sistemului  informational de manegment financiar (SIMF).S-a planificat un buget echilibrat atit la capitolul venituri cit si la capitolul cheltuieli.</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Analizind indeplinirea pe parcursul anului 2021 a obiectivelori mai sus menţionate, </w:t>
      </w:r>
      <w:proofErr w:type="gramStart"/>
      <w:r w:rsidRPr="008C5887">
        <w:rPr>
          <w:rFonts w:ascii="Times New Roman" w:eastAsiaTheme="minorEastAsia" w:hAnsi="Times New Roman" w:cs="Times New Roman"/>
          <w:sz w:val="24"/>
          <w:szCs w:val="24"/>
          <w:lang w:val="en-US" w:eastAsia="ro-RO"/>
        </w:rPr>
        <w:t>din  ceea</w:t>
      </w:r>
      <w:proofErr w:type="gramEnd"/>
      <w:r w:rsidRPr="008C5887">
        <w:rPr>
          <w:rFonts w:ascii="Times New Roman" w:eastAsiaTheme="minorEastAsia" w:hAnsi="Times New Roman" w:cs="Times New Roman"/>
          <w:sz w:val="24"/>
          <w:szCs w:val="24"/>
          <w:lang w:val="en-US" w:eastAsia="ro-RO"/>
        </w:rPr>
        <w:t xml:space="preserve"> ce mi-am propus au fost indeplinite 100% la timp si calitativ, toate darile de seama au fost intocmite si prezentate in termenii stabiliti, deasemenea au fost calculate si achitate la timp salariile si contributiile angajatilor institutiilor bugetare, sa petrecut la timp conform legislatiei inventarierea bunurilor cu reflectarea lor in evidenta contabilă.</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Am intocmit si am prezentat Serviciului Fiscal de Stat  darile de seama lunare IPC 18, privind reţinere  impozitului pe venit, a primelor de asigurare obligatorie de asistenţă medicală şi a contribuţiilor de asigurări sociale de stat obligatorii calculate, precum şi informaţia privind stabilirea drepturilor sociale şi medicale aferente raporturilor  de muncă, IRM19,  respectând termenii stabiliţi.            </w:t>
      </w:r>
    </w:p>
    <w:p w:rsidR="008C5887" w:rsidRPr="008C5887" w:rsidRDefault="008C5887" w:rsidP="008C5887">
      <w:pPr>
        <w:spacing w:after="0"/>
        <w:jc w:val="both"/>
        <w:rPr>
          <w:rFonts w:ascii="Times New Roman" w:eastAsiaTheme="minorEastAsia" w:hAnsi="Times New Roman" w:cs="Times New Roman"/>
          <w:sz w:val="24"/>
          <w:szCs w:val="24"/>
          <w:lang w:val="ro-MO" w:eastAsia="ro-RO"/>
        </w:rPr>
      </w:pPr>
      <w:r w:rsidRPr="008C5887">
        <w:rPr>
          <w:rFonts w:ascii="Times New Roman" w:eastAsiaTheme="minorEastAsia" w:hAnsi="Times New Roman" w:cs="Times New Roman"/>
          <w:sz w:val="24"/>
          <w:szCs w:val="24"/>
          <w:lang w:val="en-US" w:eastAsia="ro-RO"/>
        </w:rPr>
        <w:t xml:space="preserve"> Am intocmit darea de seama anuală IALS18, privind salariul si alte plati efectuate de catre patron in folosul angajatilor, precum si platile achitate rezidentilor din alte surse de venit decit salariul si impozitul pe venit retinut din aceste plati, care </w:t>
      </w:r>
      <w:r w:rsidRPr="008C5887">
        <w:rPr>
          <w:rFonts w:ascii="Times New Roman" w:eastAsiaTheme="minorEastAsia" w:hAnsi="Times New Roman" w:cs="Times New Roman"/>
          <w:sz w:val="24"/>
          <w:szCs w:val="24"/>
          <w:lang w:val="ro-MO" w:eastAsia="ro-RO"/>
        </w:rPr>
        <w:t xml:space="preserve">a  fost prezentată  Serviciului  Fiscal  de Stat  electronic  pe   Servicii fiscale electronice  (servicii.fisc.md)  in termenii  stabiliti. </w:t>
      </w:r>
    </w:p>
    <w:p w:rsidR="008C5887" w:rsidRPr="008C5887" w:rsidRDefault="008C5887" w:rsidP="008C5887">
      <w:pPr>
        <w:spacing w:after="0"/>
        <w:jc w:val="both"/>
        <w:rPr>
          <w:rFonts w:ascii="Times New Roman" w:eastAsiaTheme="minorEastAsia" w:hAnsi="Times New Roman" w:cs="Times New Roman"/>
          <w:sz w:val="24"/>
          <w:szCs w:val="24"/>
          <w:lang w:val="ro-MO" w:eastAsia="ro-RO"/>
        </w:rPr>
      </w:pPr>
      <w:r w:rsidRPr="008C5887">
        <w:rPr>
          <w:rFonts w:ascii="Times New Roman" w:eastAsiaTheme="minorEastAsia" w:hAnsi="Times New Roman" w:cs="Times New Roman"/>
          <w:sz w:val="24"/>
          <w:szCs w:val="24"/>
          <w:lang w:val="ro-MO" w:eastAsia="ro-RO"/>
        </w:rPr>
        <w:t>Prezentată la SFS a mai fost şi darea de seamă TFD19, privind taxa pentru folosirea drumurilor de către autovehiculele înmatriculate în Republica  Moldova.</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Pentru anul 2021 am intocmit si am prezentat la Directia Statistica Nisporeni darile de seama lunare M1-Lunar, privind cistigurile salariale pe fiecare institutie,Rapoartele Statistice nr.53-m, privind cistigurile salariale ale personalului specificate pe functii, raportul statistic nr 1-inf, privind situatia informatizarii si conexiunii la internet,Raportul statistic anual nr. 1-BE, privind Balanta energetica</w:t>
      </w:r>
      <w:proofErr w:type="gramStart"/>
      <w:r w:rsidRPr="008C5887">
        <w:rPr>
          <w:rFonts w:ascii="Times New Roman" w:eastAsiaTheme="minorEastAsia" w:hAnsi="Times New Roman" w:cs="Times New Roman"/>
          <w:sz w:val="24"/>
          <w:szCs w:val="24"/>
          <w:lang w:val="en-US" w:eastAsia="ro-RO"/>
        </w:rPr>
        <w:t>,Raportul</w:t>
      </w:r>
      <w:proofErr w:type="gramEnd"/>
      <w:r w:rsidRPr="008C5887">
        <w:rPr>
          <w:rFonts w:ascii="Times New Roman" w:eastAsiaTheme="minorEastAsia" w:hAnsi="Times New Roman" w:cs="Times New Roman"/>
          <w:sz w:val="24"/>
          <w:szCs w:val="24"/>
          <w:lang w:val="en-US" w:eastAsia="ro-RO"/>
        </w:rPr>
        <w:t xml:space="preserve"> Statistic nr. 1-tr.(auto), privind Transportul auto si lungimea drumurilor auto de exploatare administrative, Raportul Statistic nr.1-SSM, privind  Securitatea si </w:t>
      </w:r>
      <w:r w:rsidRPr="008C5887">
        <w:rPr>
          <w:rFonts w:ascii="Times New Roman" w:eastAsiaTheme="minorEastAsia" w:hAnsi="Times New Roman" w:cs="Times New Roman"/>
          <w:sz w:val="24"/>
          <w:szCs w:val="24"/>
          <w:lang w:val="en-US" w:eastAsia="ro-RO"/>
        </w:rPr>
        <w:lastRenderedPageBreak/>
        <w:t>sanatatea in munca pe fiecare institutie, de asemenea am prezentat raportul FORPRO,privind Formarea profesionala a salariatilor, nr. 2-</w:t>
      </w:r>
      <w:proofErr w:type="gramStart"/>
      <w:r w:rsidRPr="008C5887">
        <w:rPr>
          <w:rFonts w:ascii="Times New Roman" w:eastAsiaTheme="minorEastAsia" w:hAnsi="Times New Roman" w:cs="Times New Roman"/>
          <w:sz w:val="24"/>
          <w:szCs w:val="24"/>
          <w:lang w:val="en-US" w:eastAsia="ro-RO"/>
        </w:rPr>
        <w:t>INV  cu</w:t>
      </w:r>
      <w:proofErr w:type="gramEnd"/>
      <w:r w:rsidRPr="008C5887">
        <w:rPr>
          <w:rFonts w:ascii="Times New Roman" w:eastAsiaTheme="minorEastAsia" w:hAnsi="Times New Roman" w:cs="Times New Roman"/>
          <w:sz w:val="24"/>
          <w:szCs w:val="24"/>
          <w:lang w:val="en-US" w:eastAsia="ro-RO"/>
        </w:rPr>
        <w:t xml:space="preserve"> privire la investiţii si altele.</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 Lunar am intocmit Raportul operativ FD-050, privind statele si efectivul de personal din institutiile bugetare, si l-am </w:t>
      </w:r>
      <w:proofErr w:type="gramStart"/>
      <w:r w:rsidRPr="008C5887">
        <w:rPr>
          <w:rFonts w:ascii="Times New Roman" w:eastAsiaTheme="minorEastAsia" w:hAnsi="Times New Roman" w:cs="Times New Roman"/>
          <w:sz w:val="24"/>
          <w:szCs w:val="24"/>
          <w:lang w:val="en-US" w:eastAsia="ro-RO"/>
        </w:rPr>
        <w:t>prezentat  in</w:t>
      </w:r>
      <w:proofErr w:type="gramEnd"/>
      <w:r w:rsidRPr="008C5887">
        <w:rPr>
          <w:rFonts w:ascii="Times New Roman" w:eastAsiaTheme="minorEastAsia" w:hAnsi="Times New Roman" w:cs="Times New Roman"/>
          <w:sz w:val="24"/>
          <w:szCs w:val="24"/>
          <w:lang w:val="en-US" w:eastAsia="ro-RO"/>
        </w:rPr>
        <w:t xml:space="preserve"> termenii stabiliti la Directia Finante Nisporeni.</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color w:val="000000" w:themeColor="text1"/>
          <w:sz w:val="24"/>
          <w:szCs w:val="24"/>
          <w:lang w:val="ro-MO" w:eastAsia="ro-RO"/>
        </w:rPr>
        <w:t>Am realizat 2 proiecte de decizie privind rectificarea bugetului; 2 proiecte de decizie privind corelare bugetului local cu BS; 3 proiecte de decizie privind executarea bugetului pentru 12 luni 2020,  proiectul bugetului pentru anii 2021-2023; 2 proiecte de decizie privind repartizarea soldului disponibil</w:t>
      </w:r>
      <w:r w:rsidRPr="008C5887">
        <w:rPr>
          <w:rFonts w:ascii="Times New Roman" w:eastAsiaTheme="minorEastAsia" w:hAnsi="Times New Roman" w:cs="Times New Roman"/>
          <w:sz w:val="24"/>
          <w:szCs w:val="24"/>
          <w:lang w:val="ro-MO" w:eastAsia="ro-RO"/>
        </w:rPr>
        <w:t>.</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Pe parcursul anului 2021 evidenta contabila a fost intocmita conform situatiilor financiare in modul prevazut de lege, de standardele de contabilitate, de planul de conturi contabile si de alte acte normative.</w:t>
      </w:r>
    </w:p>
    <w:p w:rsidR="008C5887" w:rsidRPr="008C5887" w:rsidRDefault="008C5887" w:rsidP="008C5887">
      <w:pPr>
        <w:spacing w:before="60" w:after="0"/>
        <w:rPr>
          <w:rFonts w:ascii="Times New Roman" w:eastAsiaTheme="minorEastAsia" w:hAnsi="Times New Roman" w:cs="Times New Roman"/>
          <w:sz w:val="24"/>
          <w:szCs w:val="24"/>
          <w:lang w:val="en-US" w:eastAsia="ro-RO"/>
        </w:rPr>
      </w:pPr>
      <w:proofErr w:type="gramStart"/>
      <w:r w:rsidRPr="008C5887">
        <w:rPr>
          <w:rFonts w:ascii="Times New Roman" w:eastAsiaTheme="minorEastAsia" w:hAnsi="Times New Roman" w:cs="Times New Roman"/>
          <w:sz w:val="24"/>
          <w:szCs w:val="24"/>
          <w:lang w:val="en-US" w:eastAsia="ro-RO"/>
        </w:rPr>
        <w:t>În  anul</w:t>
      </w:r>
      <w:proofErr w:type="gramEnd"/>
      <w:r w:rsidRPr="008C5887">
        <w:rPr>
          <w:rFonts w:ascii="Times New Roman" w:eastAsiaTheme="minorEastAsia" w:hAnsi="Times New Roman" w:cs="Times New Roman"/>
          <w:sz w:val="24"/>
          <w:szCs w:val="24"/>
          <w:lang w:val="en-US" w:eastAsia="ro-RO"/>
        </w:rPr>
        <w:t xml:space="preserve">  2021 au fost efectuate si executate transferuri bancare cu diferiti Agenti Economici si persoane fizice in numar de  </w:t>
      </w:r>
      <w:r w:rsidRPr="008C5887">
        <w:rPr>
          <w:rFonts w:ascii="Times New Roman" w:eastAsiaTheme="minorEastAsia" w:hAnsi="Times New Roman" w:cs="Times New Roman"/>
          <w:color w:val="000000" w:themeColor="text1"/>
          <w:sz w:val="24"/>
          <w:szCs w:val="24"/>
          <w:lang w:val="en-US" w:eastAsia="ro-RO"/>
        </w:rPr>
        <w:t xml:space="preserve">640 ordine de plata, s-au intocmit si  s-au executat  contracte de valoare mica,de prestari servicii si altele cu diferiti Agenti Economici si persoane fizice, </w:t>
      </w:r>
      <w:r w:rsidRPr="008C5887">
        <w:rPr>
          <w:rFonts w:ascii="Times New Roman" w:eastAsiaTheme="minorEastAsia" w:hAnsi="Times New Roman" w:cs="Times New Roman"/>
          <w:color w:val="000000" w:themeColor="text1"/>
          <w:sz w:val="24"/>
          <w:szCs w:val="24"/>
          <w:lang w:val="ro-MO" w:eastAsia="ro-RO"/>
        </w:rPr>
        <w:t>am efectuat evidenta facturilor fiscale in fiecare luna cu  furnizori de prestari servicii si materiale</w:t>
      </w:r>
      <w:r w:rsidRPr="008C5887">
        <w:rPr>
          <w:rFonts w:ascii="Times New Roman" w:eastAsiaTheme="minorEastAsia" w:hAnsi="Times New Roman" w:cs="Times New Roman"/>
          <w:color w:val="000000" w:themeColor="text1"/>
          <w:sz w:val="24"/>
          <w:szCs w:val="24"/>
          <w:lang w:val="en-US" w:eastAsia="ro-RO"/>
        </w:rPr>
        <w:t>, evidenta delegatiilor, foilor de parcurs si altele conform legislatiei in vigoare</w:t>
      </w:r>
      <w:r w:rsidRPr="008C5887">
        <w:rPr>
          <w:rFonts w:ascii="Times New Roman" w:eastAsiaTheme="minorEastAsia" w:hAnsi="Times New Roman" w:cs="Times New Roman"/>
          <w:sz w:val="24"/>
          <w:szCs w:val="24"/>
          <w:lang w:val="en-US" w:eastAsia="ro-RO"/>
        </w:rPr>
        <w:t xml:space="preserve">. </w:t>
      </w:r>
    </w:p>
    <w:p w:rsidR="008C5887" w:rsidRPr="008C5887" w:rsidRDefault="008C5887" w:rsidP="008C5887">
      <w:pPr>
        <w:spacing w:before="60" w:after="0"/>
        <w:rPr>
          <w:rFonts w:eastAsiaTheme="minorEastAsia"/>
          <w:b/>
          <w:sz w:val="24"/>
          <w:szCs w:val="24"/>
          <w:lang w:val="ro-MO" w:eastAsia="ro-RO"/>
        </w:rPr>
      </w:pPr>
      <w:proofErr w:type="gramStart"/>
      <w:r w:rsidRPr="008C5887">
        <w:rPr>
          <w:rFonts w:ascii="Times New Roman" w:eastAsiaTheme="minorEastAsia" w:hAnsi="Times New Roman" w:cs="Times New Roman"/>
          <w:sz w:val="24"/>
          <w:szCs w:val="24"/>
          <w:lang w:val="en-US" w:eastAsia="ro-RO"/>
        </w:rPr>
        <w:t>Toate datele din documentele primare se prelucreaza in registrele contabile.</w:t>
      </w:r>
      <w:proofErr w:type="gramEnd"/>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 </w:t>
      </w:r>
      <w:r w:rsidRPr="008C5887">
        <w:rPr>
          <w:rFonts w:ascii="Times New Roman" w:eastAsiaTheme="minorEastAsia" w:hAnsi="Times New Roman" w:cs="Times New Roman"/>
          <w:sz w:val="24"/>
          <w:szCs w:val="24"/>
          <w:lang w:val="en-US" w:eastAsia="ro-RO"/>
        </w:rPr>
        <w:tab/>
      </w:r>
      <w:proofErr w:type="gramStart"/>
      <w:r w:rsidRPr="008C5887">
        <w:rPr>
          <w:rFonts w:ascii="Times New Roman" w:eastAsiaTheme="minorEastAsia" w:hAnsi="Times New Roman" w:cs="Times New Roman"/>
          <w:sz w:val="24"/>
          <w:szCs w:val="24"/>
          <w:lang w:val="en-US" w:eastAsia="ro-RO"/>
        </w:rPr>
        <w:t>Registrele contabile se intocmesc pe suport de hirtie sau/şi in format electronic.</w:t>
      </w:r>
      <w:proofErr w:type="gramEnd"/>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Registrele contabile obligatorii sunt Cartea Mare, Registru de evidenta a conturilor curente si a decontarilor, Registru de evidenta a alocatiilor si cheltuielilor efective, Registru de evident a delegatiilor, Balansa de verificare si alte registere centralizatoare, care servesc drept baza pentru intocmirea situatiilor financiare. </w:t>
      </w:r>
    </w:p>
    <w:p w:rsidR="008C5887" w:rsidRPr="008C5887" w:rsidRDefault="008C5887" w:rsidP="008C5887">
      <w:pPr>
        <w:spacing w:after="0"/>
        <w:jc w:val="both"/>
        <w:rPr>
          <w:rFonts w:ascii="Times New Roman" w:eastAsiaTheme="minorEastAsia" w:hAnsi="Times New Roman" w:cs="Times New Roman"/>
          <w:sz w:val="24"/>
          <w:szCs w:val="24"/>
          <w:lang w:val="en-US" w:eastAsia="ro-RO"/>
        </w:rPr>
      </w:pPr>
      <w:r w:rsidRPr="008C5887">
        <w:rPr>
          <w:rFonts w:ascii="Times New Roman" w:eastAsiaTheme="minorEastAsia" w:hAnsi="Times New Roman" w:cs="Times New Roman"/>
          <w:sz w:val="24"/>
          <w:szCs w:val="24"/>
          <w:lang w:val="en-US" w:eastAsia="ro-RO"/>
        </w:rPr>
        <w:t xml:space="preserve">  </w:t>
      </w:r>
      <w:r w:rsidRPr="008C5887">
        <w:rPr>
          <w:rFonts w:ascii="Times New Roman" w:eastAsiaTheme="minorEastAsia" w:hAnsi="Times New Roman" w:cs="Times New Roman"/>
          <w:sz w:val="24"/>
          <w:szCs w:val="24"/>
          <w:lang w:val="en-US" w:eastAsia="ro-RO"/>
        </w:rPr>
        <w:tab/>
        <w:t>Îmi propun şi în anul 2022 să asigur respecterea Legii Contabilitatii,, intocmirea si prezentarea rapoartelor financiare in conformitate cu cerintele Ministerului Finantelor, precum si alte dari de seama stabilite de catre alte autoritati publice, controlul asupra utilizarii eficiente a mijloacelor, conform destinatiei, calcularea si plata la timp a salriatilor, efectuarea la timp a decontarilor cu personae juridice si fizice pastrarea documentelor contabile, a bugetelor aprobate si a altor documente.</w:t>
      </w:r>
    </w:p>
    <w:p w:rsidR="008C5887" w:rsidRPr="008C5887" w:rsidRDefault="008C5887" w:rsidP="008C5887">
      <w:pPr>
        <w:rPr>
          <w:rFonts w:ascii="Times New Roman" w:eastAsiaTheme="minorEastAsia" w:hAnsi="Times New Roman"/>
          <w:sz w:val="24"/>
          <w:szCs w:val="24"/>
          <w:lang w:val="ro-RO" w:eastAsia="ro-RO"/>
        </w:rPr>
      </w:pPr>
      <w:r w:rsidRPr="008C5887">
        <w:rPr>
          <w:rFonts w:ascii="Times New Roman" w:eastAsiaTheme="minorEastAsia" w:hAnsi="Times New Roman" w:cs="Times New Roman"/>
          <w:sz w:val="24"/>
          <w:szCs w:val="24"/>
          <w:lang w:val="en-US" w:eastAsia="ro-RO"/>
        </w:rPr>
        <w:t xml:space="preserve">   </w:t>
      </w:r>
    </w:p>
    <w:p w:rsidR="008C5887" w:rsidRPr="008C5887" w:rsidRDefault="008C5887" w:rsidP="008C5887">
      <w:pPr>
        <w:spacing w:after="0" w:line="240" w:lineRule="auto"/>
        <w:jc w:val="center"/>
        <w:rPr>
          <w:rFonts w:ascii="Times New Roman" w:eastAsiaTheme="minorEastAsia" w:hAnsi="Times New Roman"/>
          <w:b/>
          <w:sz w:val="28"/>
          <w:szCs w:val="28"/>
          <w:lang w:val="ro-RO" w:eastAsia="ro-RO"/>
        </w:rPr>
      </w:pPr>
      <w:r w:rsidRPr="008C5887">
        <w:rPr>
          <w:rFonts w:ascii="Times New Roman" w:eastAsiaTheme="minorEastAsia" w:hAnsi="Times New Roman"/>
          <w:b/>
          <w:sz w:val="28"/>
          <w:szCs w:val="28"/>
          <w:lang w:val="ro-RO" w:eastAsia="ro-RO"/>
        </w:rPr>
        <w:t xml:space="preserve">Activitatea specialistului  ( în reglementarea regimului funciar ) </w:t>
      </w:r>
    </w:p>
    <w:p w:rsidR="008C5887" w:rsidRPr="008C5887" w:rsidRDefault="008C5887" w:rsidP="008C5887">
      <w:pPr>
        <w:spacing w:after="0" w:line="240" w:lineRule="auto"/>
        <w:jc w:val="center"/>
        <w:rPr>
          <w:rFonts w:ascii="Times New Roman" w:eastAsiaTheme="minorEastAsia" w:hAnsi="Times New Roman"/>
          <w:b/>
          <w:sz w:val="28"/>
          <w:szCs w:val="28"/>
          <w:lang w:val="ro-RO" w:eastAsia="ro-RO"/>
        </w:rPr>
      </w:pPr>
      <w:r w:rsidRPr="008C5887">
        <w:rPr>
          <w:rFonts w:ascii="Times New Roman" w:eastAsiaTheme="minorEastAsia" w:hAnsi="Times New Roman"/>
          <w:b/>
          <w:sz w:val="28"/>
          <w:szCs w:val="28"/>
          <w:lang w:val="ro-RO" w:eastAsia="ro-RO"/>
        </w:rPr>
        <w:t>pe perioada anului  2021  s- rezumat la următoarele :</w:t>
      </w:r>
    </w:p>
    <w:p w:rsidR="008C5887" w:rsidRPr="008C5887" w:rsidRDefault="008C5887" w:rsidP="008C5887">
      <w:pPr>
        <w:spacing w:after="0"/>
        <w:rPr>
          <w:rFonts w:eastAsiaTheme="minorEastAsia"/>
          <w:sz w:val="24"/>
          <w:szCs w:val="24"/>
          <w:lang w:val="ro-RO" w:eastAsia="ro-RO"/>
        </w:rPr>
      </w:pPr>
    </w:p>
    <w:p w:rsidR="008C5887" w:rsidRPr="008C5887" w:rsidRDefault="008C5887" w:rsidP="008C5887">
      <w:pPr>
        <w:spacing w:after="0"/>
        <w:rPr>
          <w:rFonts w:eastAsiaTheme="minorEastAsia"/>
          <w:sz w:val="24"/>
          <w:szCs w:val="24"/>
          <w:lang w:val="ro-RO" w:eastAsia="ro-RO"/>
        </w:rPr>
      </w:pPr>
    </w:p>
    <w:p w:rsidR="008C5887" w:rsidRPr="008C5887" w:rsidRDefault="008C5887" w:rsidP="008C5887">
      <w:pPr>
        <w:spacing w:after="360"/>
        <w:jc w:val="center"/>
        <w:rPr>
          <w:rFonts w:ascii="Times New Roman" w:eastAsiaTheme="minorEastAsia" w:hAnsi="Times New Roman"/>
          <w:b/>
          <w:sz w:val="28"/>
          <w:szCs w:val="28"/>
          <w:lang w:val="ro-RO" w:eastAsia="ro-RO"/>
        </w:rPr>
      </w:pPr>
      <w:r w:rsidRPr="008C5887">
        <w:rPr>
          <w:rFonts w:ascii="Times New Roman" w:eastAsiaTheme="minorEastAsia" w:hAnsi="Times New Roman"/>
          <w:b/>
          <w:sz w:val="28"/>
          <w:szCs w:val="28"/>
          <w:lang w:val="ro-RO" w:eastAsia="ro-RO"/>
        </w:rPr>
        <w:t xml:space="preserve">Teritoriul primăriei Grozeşti constitue – </w:t>
      </w:r>
      <w:smartTag w:uri="urn:schemas-microsoft-com:office:smarttags" w:element="metricconverter">
        <w:smartTagPr>
          <w:attr w:name="ProductID" w:val="2394,8 ha"/>
        </w:smartTagPr>
        <w:r w:rsidRPr="008C5887">
          <w:rPr>
            <w:rFonts w:ascii="Times New Roman" w:eastAsiaTheme="minorEastAsia" w:hAnsi="Times New Roman"/>
            <w:b/>
            <w:sz w:val="28"/>
            <w:szCs w:val="28"/>
            <w:lang w:val="ro-RO" w:eastAsia="ro-RO"/>
          </w:rPr>
          <w:t>2394,8 ha</w:t>
        </w:r>
      </w:smartTag>
      <w:r w:rsidRPr="008C5887">
        <w:rPr>
          <w:rFonts w:ascii="Times New Roman" w:eastAsiaTheme="minorEastAsia" w:hAnsi="Times New Roman"/>
          <w:b/>
          <w:sz w:val="28"/>
          <w:szCs w:val="28"/>
          <w:lang w:val="ro-RO" w:eastAsia="ro-RO"/>
        </w:rPr>
        <w:t xml:space="preserve">.  :                                                                                                              </w:t>
      </w:r>
    </w:p>
    <w:p w:rsidR="008C5887" w:rsidRPr="008C5887" w:rsidRDefault="008C5887" w:rsidP="008C5887">
      <w:pPr>
        <w:numPr>
          <w:ilvl w:val="0"/>
          <w:numId w:val="20"/>
        </w:numPr>
        <w:spacing w:after="120"/>
        <w:ind w:left="7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Terenuri cu destinație agricolă - </w:t>
      </w:r>
      <w:r w:rsidRPr="008C5887">
        <w:rPr>
          <w:rFonts w:ascii="Times New Roman" w:eastAsiaTheme="minorEastAsia" w:hAnsi="Times New Roman"/>
          <w:b/>
          <w:sz w:val="24"/>
          <w:szCs w:val="24"/>
          <w:lang w:val="ro-RO"/>
        </w:rPr>
        <w:t>1589,49ha</w:t>
      </w:r>
      <w:r w:rsidRPr="008C5887">
        <w:rPr>
          <w:rFonts w:ascii="Times New Roman" w:eastAsiaTheme="minorEastAsia" w:hAnsi="Times New Roman"/>
          <w:sz w:val="24"/>
          <w:szCs w:val="24"/>
          <w:lang w:val="ro-RO"/>
        </w:rPr>
        <w:t xml:space="preserve">. inclusiv:  </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arabil-</w:t>
      </w:r>
      <w:smartTag w:uri="urn:schemas-microsoft-com:office:smarttags" w:element="metricconverter">
        <w:smartTagPr>
          <w:attr w:name="ProductID" w:val="982,65 ha"/>
        </w:smartTagPr>
        <w:r w:rsidRPr="008C5887">
          <w:rPr>
            <w:rFonts w:ascii="Times New Roman" w:eastAsiaTheme="minorEastAsia" w:hAnsi="Times New Roman"/>
            <w:sz w:val="24"/>
            <w:szCs w:val="24"/>
            <w:lang w:val="ro-RO"/>
          </w:rPr>
          <w:t>982,65 ha</w:t>
        </w:r>
      </w:smartTag>
      <w:r w:rsidRPr="008C5887">
        <w:rPr>
          <w:rFonts w:ascii="Times New Roman" w:eastAsiaTheme="minorEastAsia" w:hAnsi="Times New Roman"/>
          <w:sz w:val="24"/>
          <w:szCs w:val="24"/>
          <w:lang w:val="ro-RO"/>
        </w:rPr>
        <w:t>.,</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plantații multianuale 284,03ha.,</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pășunat 242,55ha. </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alte terenuri </w:t>
      </w:r>
      <w:smartTag w:uri="urn:schemas-microsoft-com:office:smarttags" w:element="metricconverter">
        <w:smartTagPr>
          <w:attr w:name="ProductID" w:val="80,26 ha"/>
        </w:smartTagPr>
        <w:r w:rsidRPr="008C5887">
          <w:rPr>
            <w:rFonts w:ascii="Times New Roman" w:eastAsiaTheme="minorEastAsia" w:hAnsi="Times New Roman"/>
            <w:sz w:val="24"/>
            <w:szCs w:val="24"/>
            <w:lang w:val="ro-RO"/>
          </w:rPr>
          <w:t>80,26 ha</w:t>
        </w:r>
      </w:smartTag>
      <w:r w:rsidRPr="008C5887">
        <w:rPr>
          <w:rFonts w:ascii="Times New Roman" w:eastAsiaTheme="minorEastAsia" w:hAnsi="Times New Roman"/>
          <w:sz w:val="24"/>
          <w:szCs w:val="24"/>
          <w:lang w:val="ro-RO"/>
        </w:rPr>
        <w:t>.,</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-ternul satului – </w:t>
      </w:r>
      <w:r w:rsidRPr="008C5887">
        <w:rPr>
          <w:rFonts w:ascii="Times New Roman" w:eastAsiaTheme="minorEastAsia" w:hAnsi="Times New Roman"/>
          <w:b/>
          <w:sz w:val="24"/>
          <w:szCs w:val="24"/>
          <w:lang w:val="ro-RO"/>
        </w:rPr>
        <w:t>194ha.,</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b/>
          <w:sz w:val="24"/>
          <w:szCs w:val="24"/>
          <w:lang w:val="ro-RO"/>
        </w:rPr>
        <w:t xml:space="preserve">       -</w:t>
      </w:r>
      <w:r w:rsidRPr="008C5887">
        <w:rPr>
          <w:rFonts w:ascii="Times New Roman" w:eastAsiaTheme="minorEastAsia" w:hAnsi="Times New Roman"/>
          <w:sz w:val="24"/>
          <w:szCs w:val="24"/>
          <w:lang w:val="ro-RO"/>
        </w:rPr>
        <w:t xml:space="preserve">teren destinație industriei, transportului, telecomunicaților  – </w:t>
      </w:r>
      <w:r w:rsidRPr="008C5887">
        <w:rPr>
          <w:rFonts w:ascii="Times New Roman" w:eastAsiaTheme="minorEastAsia" w:hAnsi="Times New Roman"/>
          <w:b/>
          <w:sz w:val="24"/>
          <w:szCs w:val="24"/>
          <w:lang w:val="ro-RO"/>
        </w:rPr>
        <w:t>23,1ha</w:t>
      </w:r>
      <w:r w:rsidRPr="008C5887">
        <w:rPr>
          <w:rFonts w:ascii="Times New Roman" w:eastAsiaTheme="minorEastAsia" w:hAnsi="Times New Roman"/>
          <w:sz w:val="24"/>
          <w:szCs w:val="24"/>
          <w:lang w:val="ro-RO"/>
        </w:rPr>
        <w:t>.,</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b/>
          <w:sz w:val="24"/>
          <w:szCs w:val="24"/>
          <w:lang w:val="ro-RO"/>
        </w:rPr>
        <w:t xml:space="preserve">       -</w:t>
      </w:r>
      <w:r w:rsidRPr="008C5887">
        <w:rPr>
          <w:rFonts w:ascii="Times New Roman" w:eastAsiaTheme="minorEastAsia" w:hAnsi="Times New Roman"/>
          <w:sz w:val="24"/>
          <w:szCs w:val="24"/>
          <w:lang w:val="ro-RO"/>
        </w:rPr>
        <w:t>terenuri destinate protecției naturii -</w:t>
      </w:r>
      <w:r w:rsidRPr="008C5887">
        <w:rPr>
          <w:rFonts w:ascii="Times New Roman" w:eastAsiaTheme="minorEastAsia" w:hAnsi="Times New Roman"/>
          <w:b/>
          <w:sz w:val="24"/>
          <w:szCs w:val="24"/>
          <w:lang w:val="ro-RO"/>
        </w:rPr>
        <w:t>2,0ha</w:t>
      </w:r>
      <w:r w:rsidRPr="008C5887">
        <w:rPr>
          <w:rFonts w:ascii="Times New Roman" w:eastAsiaTheme="minorEastAsia" w:hAnsi="Times New Roman"/>
          <w:sz w:val="24"/>
          <w:szCs w:val="24"/>
          <w:lang w:val="ro-RO"/>
        </w:rPr>
        <w:t xml:space="preserve">., </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b/>
          <w:sz w:val="24"/>
          <w:szCs w:val="24"/>
          <w:lang w:val="ro-RO"/>
        </w:rPr>
        <w:t xml:space="preserve">       -</w:t>
      </w:r>
      <w:r w:rsidRPr="008C5887">
        <w:rPr>
          <w:rFonts w:ascii="Times New Roman" w:eastAsiaTheme="minorEastAsia" w:hAnsi="Times New Roman"/>
          <w:sz w:val="24"/>
          <w:szCs w:val="24"/>
          <w:lang w:val="ro-RO"/>
        </w:rPr>
        <w:t xml:space="preserve">terenuri fondului silvic – </w:t>
      </w:r>
      <w:r w:rsidRPr="008C5887">
        <w:rPr>
          <w:rFonts w:ascii="Times New Roman" w:eastAsiaTheme="minorEastAsia" w:hAnsi="Times New Roman"/>
          <w:b/>
          <w:sz w:val="24"/>
          <w:szCs w:val="24"/>
          <w:lang w:val="ro-RO"/>
        </w:rPr>
        <w:t>429,1ha</w:t>
      </w:r>
      <w:r w:rsidRPr="008C5887">
        <w:rPr>
          <w:rFonts w:ascii="Times New Roman" w:eastAsiaTheme="minorEastAsia" w:hAnsi="Times New Roman"/>
          <w:sz w:val="24"/>
          <w:szCs w:val="24"/>
          <w:lang w:val="ro-RO"/>
        </w:rPr>
        <w:t xml:space="preserve">., </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b/>
          <w:sz w:val="24"/>
          <w:szCs w:val="24"/>
          <w:lang w:val="ro-RO"/>
        </w:rPr>
        <w:lastRenderedPageBreak/>
        <w:t xml:space="preserve">       -</w:t>
      </w:r>
      <w:r w:rsidRPr="008C5887">
        <w:rPr>
          <w:rFonts w:ascii="Times New Roman" w:eastAsiaTheme="minorEastAsia" w:hAnsi="Times New Roman"/>
          <w:sz w:val="24"/>
          <w:szCs w:val="24"/>
          <w:lang w:val="ro-RO"/>
        </w:rPr>
        <w:t xml:space="preserve">terenuri fondului apelor – </w:t>
      </w:r>
      <w:r w:rsidRPr="008C5887">
        <w:rPr>
          <w:rFonts w:ascii="Times New Roman" w:eastAsiaTheme="minorEastAsia" w:hAnsi="Times New Roman"/>
          <w:b/>
          <w:sz w:val="24"/>
          <w:szCs w:val="24"/>
          <w:lang w:val="ro-RO"/>
        </w:rPr>
        <w:t>100,17ha</w:t>
      </w:r>
      <w:r w:rsidRPr="008C5887">
        <w:rPr>
          <w:rFonts w:ascii="Times New Roman" w:eastAsiaTheme="minorEastAsia" w:hAnsi="Times New Roman"/>
          <w:sz w:val="24"/>
          <w:szCs w:val="24"/>
          <w:lang w:val="ro-RO"/>
        </w:rPr>
        <w:t>.,</w:t>
      </w:r>
    </w:p>
    <w:p w:rsidR="008C5887" w:rsidRPr="008C5887" w:rsidRDefault="008C5887" w:rsidP="008C5887">
      <w:pPr>
        <w:spacing w:after="120"/>
        <w:contextualSpacing/>
        <w:rPr>
          <w:rFonts w:ascii="Times New Roman" w:eastAsiaTheme="minorEastAsia" w:hAnsi="Times New Roman"/>
          <w:sz w:val="24"/>
          <w:szCs w:val="24"/>
          <w:lang w:val="ro-RO"/>
        </w:rPr>
      </w:pPr>
      <w:r w:rsidRPr="008C5887">
        <w:rPr>
          <w:rFonts w:ascii="Times New Roman" w:eastAsiaTheme="minorEastAsia" w:hAnsi="Times New Roman"/>
          <w:b/>
          <w:sz w:val="24"/>
          <w:szCs w:val="24"/>
          <w:lang w:val="ro-RO"/>
        </w:rPr>
        <w:t xml:space="preserve">       -</w:t>
      </w:r>
      <w:r w:rsidRPr="008C5887">
        <w:rPr>
          <w:rFonts w:ascii="Times New Roman" w:eastAsiaTheme="minorEastAsia" w:hAnsi="Times New Roman"/>
          <w:sz w:val="24"/>
          <w:szCs w:val="24"/>
          <w:lang w:val="ro-RO"/>
        </w:rPr>
        <w:t xml:space="preserve">terenuri fondului de rezervă – </w:t>
      </w:r>
      <w:r w:rsidRPr="008C5887">
        <w:rPr>
          <w:rFonts w:ascii="Times New Roman" w:eastAsiaTheme="minorEastAsia" w:hAnsi="Times New Roman"/>
          <w:b/>
          <w:sz w:val="24"/>
          <w:szCs w:val="24"/>
          <w:lang w:val="ro-RO"/>
        </w:rPr>
        <w:t>57,73ha</w:t>
      </w:r>
      <w:r w:rsidRPr="008C5887">
        <w:rPr>
          <w:rFonts w:ascii="Times New Roman" w:eastAsiaTheme="minorEastAsia" w:hAnsi="Times New Roman"/>
          <w:sz w:val="24"/>
          <w:szCs w:val="24"/>
          <w:lang w:val="ro-RO"/>
        </w:rPr>
        <w:t>.,</w:t>
      </w:r>
      <w:r w:rsidRPr="008C5887">
        <w:rPr>
          <w:rFonts w:ascii="Times New Roman" w:eastAsiaTheme="minorEastAsia" w:hAnsi="Times New Roman"/>
          <w:b/>
          <w:sz w:val="24"/>
          <w:szCs w:val="24"/>
          <w:lang w:val="ro-RO"/>
        </w:rPr>
        <w:t xml:space="preserve">    </w:t>
      </w:r>
      <w:r w:rsidRPr="008C5887">
        <w:rPr>
          <w:rFonts w:ascii="Times New Roman" w:eastAsiaTheme="minorEastAsia" w:hAnsi="Times New Roman"/>
          <w:sz w:val="24"/>
          <w:szCs w:val="24"/>
          <w:lang w:val="ro-RO"/>
        </w:rPr>
        <w:t xml:space="preserve"> </w:t>
      </w:r>
    </w:p>
    <w:p w:rsidR="008C5887" w:rsidRPr="008C5887" w:rsidRDefault="008C5887" w:rsidP="008C5887">
      <w:pPr>
        <w:spacing w:after="120"/>
        <w:contextualSpacing/>
        <w:jc w:val="center"/>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Nivelul  de  evidență este de 100%.</w:t>
      </w:r>
    </w:p>
    <w:p w:rsidR="008C5887" w:rsidRPr="008C5887" w:rsidRDefault="008C5887" w:rsidP="008C5887">
      <w:pPr>
        <w:numPr>
          <w:ilvl w:val="0"/>
          <w:numId w:val="20"/>
        </w:numPr>
        <w:spacing w:after="0"/>
        <w:ind w:left="7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Evidenţa terenurilor arendate și agenților economici care activiază pe teritoriul satului:</w:t>
      </w:r>
    </w:p>
    <w:p w:rsidR="008C5887" w:rsidRPr="008C5887" w:rsidRDefault="008C5887" w:rsidP="008C5887">
      <w:pPr>
        <w:spacing w:after="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 G.Ț. ”Mocanu Vladimir Victor” – suprafața de -</w:t>
      </w:r>
      <w:r w:rsidRPr="008C5887">
        <w:rPr>
          <w:rFonts w:ascii="Times New Roman" w:eastAsiaTheme="minorEastAsia" w:hAnsi="Times New Roman"/>
          <w:b/>
          <w:sz w:val="24"/>
          <w:szCs w:val="24"/>
          <w:lang w:val="ro-RO"/>
        </w:rPr>
        <w:t>10</w:t>
      </w:r>
      <w:r w:rsidRPr="008C5887">
        <w:rPr>
          <w:rFonts w:ascii="Times New Roman" w:eastAsiaTheme="minorEastAsia" w:hAnsi="Times New Roman"/>
          <w:b/>
          <w:sz w:val="24"/>
          <w:szCs w:val="24"/>
          <w:lang w:val="fr-FR"/>
        </w:rPr>
        <w:t>8</w:t>
      </w:r>
      <w:r w:rsidRPr="008C5887">
        <w:rPr>
          <w:rFonts w:ascii="Times New Roman" w:eastAsiaTheme="minorEastAsia" w:hAnsi="Times New Roman"/>
          <w:b/>
          <w:sz w:val="24"/>
          <w:szCs w:val="24"/>
          <w:lang w:val="ro-RO"/>
        </w:rPr>
        <w:t>,</w:t>
      </w:r>
      <w:r w:rsidRPr="008C5887">
        <w:rPr>
          <w:rFonts w:ascii="Times New Roman" w:eastAsiaTheme="minorEastAsia" w:hAnsi="Times New Roman"/>
          <w:b/>
          <w:sz w:val="24"/>
          <w:szCs w:val="24"/>
          <w:lang w:val="fr-FR"/>
        </w:rPr>
        <w:t>15</w:t>
      </w:r>
      <w:r w:rsidRPr="008C5887">
        <w:rPr>
          <w:rFonts w:ascii="Times New Roman" w:eastAsiaTheme="minorEastAsia" w:hAnsi="Times New Roman"/>
          <w:b/>
          <w:sz w:val="24"/>
          <w:szCs w:val="24"/>
          <w:lang w:val="ro-RO"/>
        </w:rPr>
        <w:t>ha</w:t>
      </w:r>
      <w:r w:rsidRPr="008C5887">
        <w:rPr>
          <w:rFonts w:ascii="Times New Roman" w:eastAsiaTheme="minorEastAsia" w:hAnsi="Times New Roman"/>
          <w:sz w:val="24"/>
          <w:szCs w:val="24"/>
          <w:lang w:val="ro-RO"/>
        </w:rPr>
        <w:t xml:space="preserve">. </w:t>
      </w:r>
    </w:p>
    <w:p w:rsidR="008C5887" w:rsidRPr="008C5887" w:rsidRDefault="008C5887" w:rsidP="008C5887">
      <w:pPr>
        <w:spacing w:after="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 S.R.L. ”Agrar-Prut”- sprafața de Art.12- 70,51ha+Art.82-</w:t>
      </w:r>
      <w:smartTag w:uri="urn:schemas-microsoft-com:office:smarttags" w:element="PersonName">
        <w:smartTagPr>
          <w:attr w:name="ProductID" w:val="la  Direcţia"/>
        </w:smartTagPr>
        <w:r w:rsidRPr="008C5887">
          <w:rPr>
            <w:rFonts w:ascii="Times New Roman" w:eastAsiaTheme="minorEastAsia" w:hAnsi="Times New Roman"/>
            <w:sz w:val="24"/>
            <w:szCs w:val="24"/>
            <w:lang w:val="ro-RO"/>
          </w:rPr>
          <w:t>43,15 ha</w:t>
        </w:r>
      </w:smartTag>
      <w:r w:rsidRPr="008C5887">
        <w:rPr>
          <w:rFonts w:ascii="Times New Roman" w:eastAsiaTheme="minorEastAsia" w:hAnsi="Times New Roman"/>
          <w:sz w:val="24"/>
          <w:szCs w:val="24"/>
          <w:lang w:val="ro-RO"/>
        </w:rPr>
        <w:t>. total-</w:t>
      </w:r>
      <w:r w:rsidRPr="008C5887">
        <w:rPr>
          <w:rFonts w:ascii="Times New Roman" w:eastAsiaTheme="minorEastAsia" w:hAnsi="Times New Roman"/>
          <w:b/>
          <w:sz w:val="24"/>
          <w:szCs w:val="24"/>
          <w:lang w:val="ro-RO"/>
        </w:rPr>
        <w:t>113,66ha</w:t>
      </w:r>
      <w:r w:rsidRPr="008C5887">
        <w:rPr>
          <w:rFonts w:ascii="Times New Roman" w:eastAsiaTheme="minorEastAsia" w:hAnsi="Times New Roman"/>
          <w:sz w:val="24"/>
          <w:szCs w:val="24"/>
          <w:lang w:val="ro-RO"/>
        </w:rPr>
        <w:t>.                                                                                                                                                                                          -        -S.R.L.”Undan Agro”suprafața de: Art.12- 311,18 ha+Art.82-12,55ha total-</w:t>
      </w:r>
      <w:r w:rsidRPr="008C5887">
        <w:rPr>
          <w:rFonts w:ascii="Times New Roman" w:eastAsiaTheme="minorEastAsia" w:hAnsi="Times New Roman"/>
          <w:b/>
          <w:sz w:val="24"/>
          <w:szCs w:val="24"/>
          <w:lang w:val="ro-RO"/>
        </w:rPr>
        <w:t>323,73ha</w:t>
      </w:r>
      <w:r w:rsidRPr="008C5887">
        <w:rPr>
          <w:rFonts w:ascii="Times New Roman" w:eastAsiaTheme="minorEastAsia" w:hAnsi="Times New Roman"/>
          <w:sz w:val="24"/>
          <w:szCs w:val="24"/>
          <w:lang w:val="ro-RO"/>
        </w:rPr>
        <w:t>.</w:t>
      </w:r>
    </w:p>
    <w:p w:rsidR="008C5887" w:rsidRPr="008C5887" w:rsidRDefault="008C5887" w:rsidP="008C5887">
      <w:pPr>
        <w:spacing w:after="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  - pe teritoriului primăriei Grozești:  activiază </w:t>
      </w:r>
      <w:r w:rsidRPr="008C5887">
        <w:rPr>
          <w:rFonts w:ascii="Times New Roman" w:eastAsiaTheme="minorEastAsia" w:hAnsi="Times New Roman"/>
          <w:b/>
          <w:sz w:val="24"/>
          <w:szCs w:val="24"/>
          <w:lang w:val="ro-RO"/>
        </w:rPr>
        <w:t>9</w:t>
      </w:r>
      <w:r w:rsidRPr="008C5887">
        <w:rPr>
          <w:rFonts w:ascii="Times New Roman" w:eastAsiaTheme="minorEastAsia" w:hAnsi="Times New Roman"/>
          <w:sz w:val="24"/>
          <w:szCs w:val="24"/>
          <w:lang w:val="ro-RO"/>
        </w:rPr>
        <w:t xml:space="preserve"> Întreprinderi Individuale și un S.R.L.</w:t>
      </w:r>
    </w:p>
    <w:p w:rsidR="008C5887" w:rsidRPr="008C5887" w:rsidRDefault="008C5887" w:rsidP="008C5887">
      <w:pPr>
        <w:numPr>
          <w:ilvl w:val="0"/>
          <w:numId w:val="20"/>
        </w:numPr>
        <w:spacing w:after="0"/>
        <w:ind w:left="7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Furnizarea informaţiei cadastrale către  organele  ierarhic  superioare – dări de seamă anuale  </w:t>
      </w:r>
      <w:smartTag w:uri="urn:schemas-microsoft-com:office:smarttags" w:element="PersonName">
        <w:smartTagPr>
          <w:attr w:name="ProductID" w:val="la  Direcţia"/>
        </w:smartTagPr>
        <w:r w:rsidRPr="008C5887">
          <w:rPr>
            <w:rFonts w:ascii="Times New Roman" w:eastAsiaTheme="minorEastAsia" w:hAnsi="Times New Roman"/>
            <w:sz w:val="24"/>
            <w:szCs w:val="24"/>
            <w:lang w:val="ro-RO"/>
          </w:rPr>
          <w:t>la  Direcţia</w:t>
        </w:r>
      </w:smartTag>
      <w:r w:rsidRPr="008C5887">
        <w:rPr>
          <w:rFonts w:ascii="Times New Roman" w:eastAsiaTheme="minorEastAsia" w:hAnsi="Times New Roman"/>
          <w:sz w:val="24"/>
          <w:szCs w:val="24"/>
          <w:lang w:val="ro-RO"/>
        </w:rPr>
        <w:t xml:space="preserve"> agricolă, Fiscală , Statistică,  Cadastru – conform  cerinţelor.                                                                                                     Nivelul  de  îndeplinire  este  de  100%.</w:t>
      </w:r>
    </w:p>
    <w:p w:rsidR="008C5887" w:rsidRPr="008C5887" w:rsidRDefault="008C5887" w:rsidP="008C5887">
      <w:pPr>
        <w:numPr>
          <w:ilvl w:val="0"/>
          <w:numId w:val="20"/>
        </w:numPr>
        <w:spacing w:after="0"/>
        <w:ind w:left="7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Am  contribuit  la  soluţionarea  litigiilor  funciare  între  deţinătorii  de  terenuri – au fost  soluţionate  - 5 litigii  funciare de  la  hotarele  fixe  ale  parcelelor.                        </w:t>
      </w:r>
      <w:r w:rsidRPr="008C5887">
        <w:rPr>
          <w:rFonts w:ascii="Times New Roman" w:eastAsiaTheme="minorEastAsia" w:hAnsi="Times New Roman"/>
          <w:sz w:val="24"/>
          <w:szCs w:val="24"/>
          <w:lang w:val="fr-FR"/>
        </w:rPr>
        <w:t xml:space="preserve">                                                                                </w:t>
      </w:r>
      <w:r w:rsidRPr="008C5887">
        <w:rPr>
          <w:rFonts w:ascii="Times New Roman" w:eastAsiaTheme="minorEastAsia" w:hAnsi="Times New Roman"/>
          <w:sz w:val="24"/>
          <w:szCs w:val="24"/>
          <w:lang w:val="ro-RO"/>
        </w:rPr>
        <w:t xml:space="preserve"> Nivelul  de  îndeplinire  este  de 100%.</w:t>
      </w:r>
    </w:p>
    <w:p w:rsidR="008C5887" w:rsidRPr="008C5887" w:rsidRDefault="008C5887" w:rsidP="008C5887">
      <w:pPr>
        <w:numPr>
          <w:ilvl w:val="0"/>
          <w:numId w:val="20"/>
        </w:numPr>
        <w:spacing w:after="240"/>
        <w:ind w:left="720"/>
        <w:contextualSpacing/>
        <w:rPr>
          <w:rFonts w:ascii="Times New Roman" w:eastAsiaTheme="minorEastAsia" w:hAnsi="Times New Roman"/>
          <w:sz w:val="24"/>
          <w:szCs w:val="24"/>
          <w:lang w:val="ro-RO"/>
        </w:rPr>
      </w:pPr>
      <w:r w:rsidRPr="008C5887">
        <w:rPr>
          <w:rFonts w:ascii="Times New Roman" w:eastAsiaTheme="minorEastAsia" w:hAnsi="Times New Roman"/>
          <w:sz w:val="24"/>
          <w:szCs w:val="24"/>
          <w:lang w:val="ro-RO"/>
        </w:rPr>
        <w:t xml:space="preserve">Conform cerințelor am  contribuit la  corectarea  erorilor  în  Titlurilor  de  autentificare  a cet. Beregoi </w:t>
      </w:r>
      <w:r w:rsidRPr="008C5887">
        <w:rPr>
          <w:rFonts w:ascii="Times New Roman" w:eastAsiaTheme="minorEastAsia" w:hAnsi="Times New Roman"/>
          <w:sz w:val="24"/>
          <w:szCs w:val="24"/>
          <w:lang w:val="fr-FR"/>
        </w:rPr>
        <w:t>Anatolii</w:t>
      </w:r>
      <w:r w:rsidRPr="008C5887">
        <w:rPr>
          <w:rFonts w:ascii="Times New Roman" w:eastAsiaTheme="minorEastAsia" w:hAnsi="Times New Roman"/>
          <w:sz w:val="24"/>
          <w:szCs w:val="24"/>
          <w:lang w:val="ro-RO"/>
        </w:rPr>
        <w:t xml:space="preserve">, Pavlov Anatolii, și Iancu Mihail .                                                                                                         Nivelul  de  îndeplinire este de </w:t>
      </w:r>
      <w:r w:rsidRPr="008C5887">
        <w:rPr>
          <w:rFonts w:ascii="Times New Roman" w:eastAsiaTheme="minorEastAsia" w:hAnsi="Times New Roman"/>
          <w:sz w:val="24"/>
          <w:szCs w:val="24"/>
          <w:lang w:val="fr-FR"/>
        </w:rPr>
        <w:t>100</w:t>
      </w:r>
      <w:r w:rsidRPr="008C5887">
        <w:rPr>
          <w:rFonts w:ascii="Times New Roman" w:eastAsiaTheme="minorEastAsia" w:hAnsi="Times New Roman"/>
          <w:sz w:val="24"/>
          <w:szCs w:val="24"/>
          <w:lang w:val="ro-RO"/>
        </w:rPr>
        <w:t xml:space="preserve"> %.</w:t>
      </w:r>
    </w:p>
    <w:p w:rsidR="008C5887" w:rsidRPr="008C5887" w:rsidRDefault="008C5887" w:rsidP="008C5887">
      <w:pPr>
        <w:spacing w:after="240"/>
        <w:contextualSpacing/>
        <w:rPr>
          <w:rFonts w:ascii="Times New Roman" w:eastAsiaTheme="minorEastAsia" w:hAnsi="Times New Roman"/>
          <w:sz w:val="24"/>
          <w:szCs w:val="24"/>
          <w:lang w:val="ro-RO"/>
        </w:rPr>
      </w:pPr>
    </w:p>
    <w:p w:rsidR="008C5887" w:rsidRPr="008C5887" w:rsidRDefault="008C5887" w:rsidP="008C5887">
      <w:pPr>
        <w:spacing w:after="0"/>
        <w:contextualSpacing/>
        <w:rPr>
          <w:rFonts w:ascii="Times New Roman" w:eastAsiaTheme="minorEastAsia" w:hAnsi="Times New Roman"/>
          <w:sz w:val="24"/>
          <w:szCs w:val="24"/>
          <w:lang w:val="ro-RO"/>
        </w:rPr>
      </w:pPr>
    </w:p>
    <w:p w:rsidR="008C5887" w:rsidRPr="008C5887" w:rsidRDefault="008C5887" w:rsidP="008C5887">
      <w:pPr>
        <w:spacing w:after="0"/>
        <w:contextualSpacing/>
        <w:rPr>
          <w:rFonts w:ascii="Times New Roman" w:eastAsiaTheme="minorEastAsia" w:hAnsi="Times New Roman"/>
          <w:sz w:val="24"/>
          <w:szCs w:val="24"/>
          <w:lang w:val="ro-RO"/>
        </w:rPr>
      </w:pPr>
    </w:p>
    <w:p w:rsidR="008C5887" w:rsidRPr="008C5887" w:rsidRDefault="008C5887" w:rsidP="008C5887">
      <w:pPr>
        <w:jc w:val="center"/>
        <w:rPr>
          <w:rFonts w:ascii="Times New Roman" w:eastAsiaTheme="minorEastAsia" w:hAnsi="Times New Roman" w:cs="Times New Roman"/>
          <w:b/>
          <w:sz w:val="24"/>
          <w:szCs w:val="24"/>
          <w:lang w:val="ro-RO" w:eastAsia="ro-RO"/>
        </w:rPr>
      </w:pPr>
      <w:r w:rsidRPr="008C5887">
        <w:rPr>
          <w:rFonts w:ascii="Times New Roman" w:eastAsia="Calibri" w:hAnsi="Times New Roman" w:cs="Times New Roman"/>
          <w:b/>
          <w:sz w:val="28"/>
          <w:szCs w:val="28"/>
          <w:lang w:val="ro-RO" w:eastAsia="ro-RO"/>
        </w:rPr>
        <w:t>Domeniul  perceperii fiscale este reprezentat în primărie de un specialist,  care are următoarele atribuţii de bază:</w:t>
      </w:r>
      <w:r w:rsidRPr="008C5887">
        <w:rPr>
          <w:rFonts w:ascii="Times New Roman" w:eastAsiaTheme="minorEastAsia" w:hAnsi="Times New Roman" w:cs="Times New Roman"/>
          <w:b/>
          <w:sz w:val="24"/>
          <w:szCs w:val="24"/>
          <w:lang w:val="ro-RO" w:eastAsia="ro-RO"/>
        </w:rPr>
        <w:t xml:space="preserve">             </w:t>
      </w:r>
    </w:p>
    <w:p w:rsidR="008C5887" w:rsidRPr="008C5887" w:rsidRDefault="008C5887" w:rsidP="008C5887">
      <w:pPr>
        <w:numPr>
          <w:ilvl w:val="0"/>
          <w:numId w:val="36"/>
        </w:numPr>
        <w:spacing w:after="0" w:line="240" w:lineRule="auto"/>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Colectarea impozitelor şi taxelor locale ,</w:t>
      </w:r>
    </w:p>
    <w:p w:rsidR="008C5887" w:rsidRPr="008C5887" w:rsidRDefault="008C5887" w:rsidP="008C5887">
      <w:pPr>
        <w:numPr>
          <w:ilvl w:val="0"/>
          <w:numId w:val="36"/>
        </w:numPr>
        <w:spacing w:after="0" w:line="240" w:lineRule="auto"/>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Reduceriea nivelului restanţelor ,</w:t>
      </w:r>
    </w:p>
    <w:p w:rsidR="008C5887" w:rsidRPr="008C5887" w:rsidRDefault="008C5887" w:rsidP="008C5887">
      <w:pPr>
        <w:numPr>
          <w:ilvl w:val="0"/>
          <w:numId w:val="36"/>
        </w:numPr>
        <w:spacing w:after="0" w:line="240" w:lineRule="auto"/>
        <w:contextualSpacing/>
        <w:rPr>
          <w:rFonts w:ascii="Times New Roman" w:eastAsiaTheme="minorEastAsia" w:hAnsi="Times New Roman" w:cs="Times New Roman"/>
          <w:sz w:val="24"/>
          <w:szCs w:val="24"/>
          <w:lang w:val="en-US"/>
        </w:rPr>
      </w:pPr>
      <w:proofErr w:type="gramStart"/>
      <w:r w:rsidRPr="008C5887">
        <w:rPr>
          <w:rFonts w:ascii="Times New Roman" w:eastAsiaTheme="minorEastAsia" w:hAnsi="Times New Roman" w:cs="Times New Roman"/>
          <w:sz w:val="24"/>
          <w:szCs w:val="24"/>
          <w:lang w:val="en-US"/>
        </w:rPr>
        <w:t>întocmirea</w:t>
      </w:r>
      <w:proofErr w:type="gramEnd"/>
      <w:r w:rsidRPr="008C5887">
        <w:rPr>
          <w:rFonts w:ascii="Times New Roman" w:eastAsiaTheme="minorEastAsia" w:hAnsi="Times New Roman" w:cs="Times New Roman"/>
          <w:sz w:val="24"/>
          <w:szCs w:val="24"/>
          <w:lang w:val="en-US"/>
        </w:rPr>
        <w:t xml:space="preserve"> listelor cu privire la înlesniri şi înaintarea spre aprobarea la consiliul local.</w:t>
      </w:r>
    </w:p>
    <w:p w:rsidR="008C5887" w:rsidRPr="008C5887" w:rsidRDefault="008C5887" w:rsidP="008C5887">
      <w:pP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 xml:space="preserve">                   </w:t>
      </w:r>
    </w:p>
    <w:p w:rsidR="008C5887" w:rsidRPr="008C5887" w:rsidRDefault="008C5887" w:rsidP="008C5887">
      <w:pP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 xml:space="preserve">                         Succint  despre activitatea serviciului în anul 2021 :</w:t>
      </w:r>
    </w:p>
    <w:p w:rsidR="008C5887" w:rsidRPr="008C5887" w:rsidRDefault="008C5887" w:rsidP="008C5887">
      <w:pPr>
        <w:tabs>
          <w:tab w:val="left" w:pos="6780"/>
        </w:tabs>
        <w:spacing w:after="0" w:line="240" w:lineRule="auto"/>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 xml:space="preserve">                                                           </w:t>
      </w:r>
    </w:p>
    <w:p w:rsidR="008C5887" w:rsidRPr="008C5887" w:rsidRDefault="008C5887" w:rsidP="008C5887">
      <w:pPr>
        <w:tabs>
          <w:tab w:val="left" w:pos="6780"/>
        </w:tabs>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Evidenţa din registrul conturilor personale,la impozite şi taxele locale administrate SCIT  în cadrul Primăriei  se ţine în baza datelor  din Registrele  de evidenţă  a contribuabililor la impozitele administrate. Conturile personale în număr de 900 au fost deschise cu  înscrierile respective. Activitate în percepere fiscală  s-a desfăşurat ,în principal  ,în conlucrare cu specialistul  în reglementarea   regimului  funciar. Obiectivul individual de activitate a  fost  - să asigur  pregătirea  şi prezentarea dărilor de seamă organelor fiscale cu privire la îndeplinirea sumei  totale de impozite  percepute  de la persoanele fizice cu vărsarea lor în buget  conform cerinţelor termenilor prevăzuţi . De achitat  în termen  suma  de impozit în buget- săptămînal.   Nivelul de îndeplinire - 100%. </w:t>
      </w:r>
    </w:p>
    <w:p w:rsidR="008C5887" w:rsidRPr="008C5887" w:rsidRDefault="008C5887" w:rsidP="008C5887">
      <w:pPr>
        <w:tabs>
          <w:tab w:val="left" w:pos="6780"/>
        </w:tabs>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Conform datelor din Registrul de evidență a contribuabililor la impozitul funciar și pe bunurile imobiliare,pe parcursul anului 2021 sunt înregistrate următoarele conturi personale 900 : </w:t>
      </w:r>
    </w:p>
    <w:p w:rsidR="008C5887" w:rsidRPr="008C5887" w:rsidRDefault="008C5887" w:rsidP="008C5887">
      <w:pPr>
        <w:numPr>
          <w:ilvl w:val="0"/>
          <w:numId w:val="35"/>
        </w:numPr>
        <w:tabs>
          <w:tab w:val="left" w:pos="6780"/>
        </w:tabs>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Impozit funciar p/n terenurile cu destinație agricolă -114/01-756 contribuabili- 1057cote</w:t>
      </w:r>
    </w:p>
    <w:p w:rsidR="008C5887" w:rsidRPr="008C5887" w:rsidRDefault="008C5887" w:rsidP="008C5887">
      <w:pPr>
        <w:numPr>
          <w:ilvl w:val="0"/>
          <w:numId w:val="35"/>
        </w:numPr>
        <w:tabs>
          <w:tab w:val="left" w:pos="6780"/>
        </w:tabs>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Impozit funciar p/n terenurile cu destinație agricolă bazine acvatice 114/01 -3contr</w:t>
      </w:r>
      <w:proofErr w:type="gramStart"/>
      <w:r w:rsidRPr="008C5887">
        <w:rPr>
          <w:rFonts w:ascii="Times New Roman" w:eastAsiaTheme="minorEastAsia" w:hAnsi="Times New Roman" w:cs="Times New Roman"/>
          <w:sz w:val="24"/>
          <w:szCs w:val="24"/>
          <w:lang w:val="en-US"/>
        </w:rPr>
        <w:t>..</w:t>
      </w:r>
      <w:proofErr w:type="gramEnd"/>
    </w:p>
    <w:p w:rsidR="008C5887" w:rsidRPr="008C5887" w:rsidRDefault="008C5887" w:rsidP="008C5887">
      <w:pPr>
        <w:numPr>
          <w:ilvl w:val="0"/>
          <w:numId w:val="35"/>
        </w:numPr>
        <w:tabs>
          <w:tab w:val="left" w:pos="6780"/>
        </w:tabs>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Impozit funciar p/n loturile de pe lîngă casă 114/03 – 849 contr.</w:t>
      </w:r>
    </w:p>
    <w:p w:rsidR="008C5887" w:rsidRPr="008C5887" w:rsidRDefault="008C5887" w:rsidP="008C5887">
      <w:pPr>
        <w:numPr>
          <w:ilvl w:val="0"/>
          <w:numId w:val="35"/>
        </w:numPr>
        <w:tabs>
          <w:tab w:val="left" w:pos="6780"/>
        </w:tabs>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t xml:space="preserve"> Impozit funciar p/n </w:t>
      </w:r>
      <w:proofErr w:type="gramStart"/>
      <w:r w:rsidRPr="008C5887">
        <w:rPr>
          <w:rFonts w:ascii="Times New Roman" w:eastAsiaTheme="minorEastAsia" w:hAnsi="Times New Roman" w:cs="Times New Roman"/>
          <w:sz w:val="24"/>
          <w:szCs w:val="24"/>
          <w:lang w:val="en-US"/>
        </w:rPr>
        <w:t>pășuni ,fîne</w:t>
      </w:r>
      <w:proofErr w:type="gramEnd"/>
      <w:r w:rsidRPr="008C5887">
        <w:rPr>
          <w:rFonts w:ascii="Times New Roman" w:eastAsiaTheme="minorEastAsia" w:hAnsi="Times New Roman" w:cs="Times New Roman"/>
          <w:sz w:val="24"/>
          <w:szCs w:val="24"/>
          <w:lang w:val="en-US"/>
        </w:rPr>
        <w:t>țe – 114/06 – 121 contr.</w:t>
      </w:r>
    </w:p>
    <w:p w:rsidR="008C5887" w:rsidRPr="008C5887" w:rsidRDefault="008C5887" w:rsidP="008C5887">
      <w:pPr>
        <w:numPr>
          <w:ilvl w:val="0"/>
          <w:numId w:val="35"/>
        </w:numPr>
        <w:tabs>
          <w:tab w:val="left" w:pos="6780"/>
        </w:tabs>
        <w:contextualSpacing/>
        <w:rPr>
          <w:rFonts w:ascii="Times New Roman" w:eastAsiaTheme="minorEastAsia" w:hAnsi="Times New Roman" w:cs="Times New Roman"/>
          <w:sz w:val="24"/>
          <w:szCs w:val="24"/>
          <w:lang w:val="en-US"/>
        </w:rPr>
      </w:pPr>
      <w:r w:rsidRPr="008C5887">
        <w:rPr>
          <w:rFonts w:ascii="Times New Roman" w:eastAsiaTheme="minorEastAsia" w:hAnsi="Times New Roman" w:cs="Times New Roman"/>
          <w:sz w:val="24"/>
          <w:szCs w:val="24"/>
          <w:lang w:val="en-US"/>
        </w:rPr>
        <w:lastRenderedPageBreak/>
        <w:t xml:space="preserve">Impozit pe bunurile imobiliare ale persoanelor fizice 114/11 -843 contr.                                                                                                           </w:t>
      </w:r>
    </w:p>
    <w:p w:rsidR="008C5887" w:rsidRPr="008C5887" w:rsidRDefault="008C5887" w:rsidP="008C5887">
      <w:pPr>
        <w:tabs>
          <w:tab w:val="left" w:pos="6780"/>
        </w:tabs>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Am  efectuat perceperea  tuturor  impozitelor locale de la persoanele fizice. Calculul 2021  constituie suma de – 101037.51 , în 12 luni  ale anului s-a colectat impozite  de  la  persoane  fizice în sumă de – 108447 lei, ce constituie -  108%.                                                                                                                                       Pe categorii  de impozite situaţia se prezintă  astfel:                                                                                Impozitul funciar de la persoanele fizice pentru terenurile cu destinație agricolă 113/171  calculat   -  89490.51 lei,   încasat-  92447.03lei, procentul  executării  -  102%.                                                                                                                                    Impozitul  pe bunurile imobile : calculat- 11547  lei,încasat-16000 lei,procentul  executat-  120%.  .                                                                                                                                                                                    Conform evidenţei   s-a  stabilit că pînă   la 31,12,2021 au fost   acumulate impozite  cu 27345.86 lei mai mult de cît în 31,12,2020.  Începînd  cu anul  2008  pînă în 2021 avem restanţă  de 18000 lei.  Nivelul  de îndeplinire - 98%. Am  dus evidenţa  registrelor de conturi de impozite. Nivelul de îndeplinire -100%. Am efectuat vizite de control în teritoriu privind  examinarea corectitudinii colectării  impozitelor   locale şi să raportez în scris conducerii. Nivelul de îndeplinire – 100%.                                                                                                                                                                                                    Şi   pentru    anul 2022 , sarcina principală rămîne  colectarea  impozitelor  şi  taxelor  locale şi acumularea a tuturor  impozitelor şi taxelor  stabilite pe teritoriul administrativ  al satului, precum şi desfăşurarea    lucrului consecvent     cu  rău – platnicii, intervenind  cu  solicitare  de   ajutor  către   inspectoratul    Fiscal  de  Stat     Nisporeni.                                     </w:t>
      </w:r>
    </w:p>
    <w:p w:rsidR="008C5887" w:rsidRPr="008C5887" w:rsidRDefault="008C5887" w:rsidP="008C5887">
      <w:pPr>
        <w:tabs>
          <w:tab w:val="left" w:pos="6780"/>
        </w:tabs>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                                                      </w:t>
      </w:r>
    </w:p>
    <w:p w:rsidR="008C5887" w:rsidRPr="008C5887" w:rsidRDefault="008C5887" w:rsidP="008C5887">
      <w:pPr>
        <w:tabs>
          <w:tab w:val="left" w:pos="6780"/>
        </w:tabs>
        <w:spacing w:after="0"/>
        <w:jc w:val="cente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INFORMAȚIE</w:t>
      </w:r>
    </w:p>
    <w:p w:rsidR="008C5887" w:rsidRPr="008C5887" w:rsidRDefault="008C5887" w:rsidP="008C5887">
      <w:pPr>
        <w:spacing w:after="0"/>
        <w:jc w:val="cente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privind rezultatele evaluării performanţelor profesionale</w:t>
      </w:r>
    </w:p>
    <w:p w:rsidR="008C5887" w:rsidRPr="008C5887" w:rsidRDefault="008C5887" w:rsidP="008C5887">
      <w:pPr>
        <w:spacing w:after="0"/>
        <w:jc w:val="cente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t>ale funcţionarilor publici din Primăria Grozeşti  pentru anul 2021</w:t>
      </w:r>
    </w:p>
    <w:p w:rsidR="008C5887" w:rsidRPr="008C5887" w:rsidRDefault="008C5887" w:rsidP="008C5887">
      <w:pPr>
        <w:spacing w:after="0"/>
        <w:jc w:val="center"/>
        <w:rPr>
          <w:rFonts w:ascii="Times New Roman" w:eastAsiaTheme="minorEastAsia" w:hAnsi="Times New Roman" w:cs="Times New Roman"/>
          <w:b/>
          <w:sz w:val="24"/>
          <w:szCs w:val="24"/>
          <w:lang w:val="ro-RO" w:eastAsia="ro-RO"/>
        </w:rPr>
      </w:pP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sz w:val="24"/>
          <w:szCs w:val="24"/>
          <w:lang w:val="ro-RO" w:eastAsia="ro-RO"/>
        </w:rPr>
        <w:t xml:space="preserve">                                               </w:t>
      </w:r>
      <w:r w:rsidRPr="008C5887">
        <w:rPr>
          <w:rFonts w:ascii="Times New Roman" w:eastAsiaTheme="minorEastAsia" w:hAnsi="Times New Roman" w:cs="Times New Roman"/>
          <w:b/>
          <w:i/>
          <w:sz w:val="24"/>
          <w:szCs w:val="24"/>
          <w:lang w:val="ro-RO" w:eastAsia="ro-RO"/>
        </w:rPr>
        <w:t>Date generale despre procedura de evaluare</w:t>
      </w:r>
    </w:p>
    <w:p w:rsidR="008C5887" w:rsidRPr="008C5887" w:rsidRDefault="008C5887" w:rsidP="008C5887">
      <w:pPr>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b/>
          <w:color w:val="000080"/>
          <w:sz w:val="24"/>
          <w:szCs w:val="24"/>
          <w:lang w:val="ro-RO" w:eastAsia="ro-RO"/>
        </w:rPr>
        <w:t xml:space="preserve">Performanţa </w:t>
      </w:r>
      <w:r w:rsidRPr="008C5887">
        <w:rPr>
          <w:rFonts w:ascii="Times New Roman" w:eastAsiaTheme="minorEastAsia" w:hAnsi="Times New Roman" w:cs="Times New Roman"/>
          <w:sz w:val="24"/>
          <w:szCs w:val="24"/>
          <w:lang w:val="ro-RO" w:eastAsia="ro-RO"/>
        </w:rPr>
        <w:t xml:space="preserve">reprezintă gradul de îndeplinire a sarcinilor care definesc postul ocupat de funcţionar public şi se referă la contribuţia pe care o aduce funcţionarul public la îndeplinirea obiectivelor autorităţii publice. Performanţa individuală este corelată direct cu performanţa colectivă şi performanţa organizaţională, de aceea este important ca să fie asigurată o performanţă individuală optimă. Performanţa poate fi definită atît prin rezultate concrete, măsurabile, cît şi prin abilităţi profesionale şi comportament organizaţional. </w:t>
      </w:r>
    </w:p>
    <w:p w:rsidR="008C5887" w:rsidRPr="008C5887" w:rsidRDefault="008C5887" w:rsidP="008C5887">
      <w:pPr>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b/>
          <w:color w:val="000080"/>
          <w:sz w:val="24"/>
          <w:szCs w:val="24"/>
          <w:lang w:val="ro-RO" w:eastAsia="ro-RO"/>
        </w:rPr>
        <w:t>Evaluarea performanţelor</w:t>
      </w:r>
      <w:r w:rsidRPr="008C5887">
        <w:rPr>
          <w:rFonts w:ascii="Times New Roman" w:eastAsiaTheme="minorEastAsia" w:hAnsi="Times New Roman" w:cs="Times New Roman"/>
          <w:i/>
          <w:sz w:val="24"/>
          <w:szCs w:val="24"/>
          <w:lang w:val="ro-RO" w:eastAsia="ro-RO"/>
        </w:rPr>
        <w:t xml:space="preserve"> </w:t>
      </w:r>
      <w:r w:rsidRPr="008C5887">
        <w:rPr>
          <w:rFonts w:ascii="Times New Roman" w:eastAsiaTheme="minorEastAsia" w:hAnsi="Times New Roman" w:cs="Times New Roman"/>
          <w:color w:val="000000"/>
          <w:sz w:val="24"/>
          <w:szCs w:val="24"/>
          <w:lang w:val="ro-RO" w:eastAsia="ro-RO"/>
        </w:rPr>
        <w:t xml:space="preserve">reprezintă </w:t>
      </w:r>
      <w:r w:rsidRPr="008C5887">
        <w:rPr>
          <w:rFonts w:ascii="Times New Roman" w:eastAsiaTheme="minorEastAsia" w:hAnsi="Times New Roman" w:cs="Times New Roman"/>
          <w:sz w:val="24"/>
          <w:szCs w:val="24"/>
          <w:lang w:val="ro-RO" w:eastAsia="ro-RO"/>
        </w:rPr>
        <w:t xml:space="preserve">procesul prin care se decide cît de bine lucrează funcţionarii publici unei autorităţi publice în raport cu obiectivele şi criteriile de evaluare stabilite. Astfel, evaluarea devine un </w:t>
      </w:r>
      <w:r w:rsidRPr="008C5887">
        <w:rPr>
          <w:rFonts w:ascii="Times New Roman" w:eastAsiaTheme="minorEastAsia" w:hAnsi="Times New Roman" w:cs="Times New Roman"/>
          <w:bCs/>
          <w:sz w:val="24"/>
          <w:szCs w:val="24"/>
          <w:lang w:val="ro-RO" w:eastAsia="ro-RO"/>
        </w:rPr>
        <w:t>instrument eficient de control şi management</w:t>
      </w:r>
      <w:r w:rsidRPr="008C5887">
        <w:rPr>
          <w:rFonts w:ascii="Times New Roman" w:eastAsiaTheme="minorEastAsia" w:hAnsi="Times New Roman" w:cs="Times New Roman"/>
          <w:sz w:val="24"/>
          <w:szCs w:val="24"/>
          <w:lang w:val="ro-RO" w:eastAsia="ro-RO"/>
        </w:rPr>
        <w:t xml:space="preserve"> prin care sunt direcţionate resursele umane în vederea îndeplinirii obiectivelor strategice organizaţionale.</w:t>
      </w:r>
    </w:p>
    <w:p w:rsidR="008C5887" w:rsidRPr="008C5887" w:rsidRDefault="008C5887" w:rsidP="008C5887">
      <w:pPr>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Perioada de implementare, în conformitate cu Dispoziţia nr. 91-A din 13.12.2021 adoptată de conducătorul autorităţii publice : de la 20.12.2021 - 28.01.2022.</w:t>
      </w:r>
    </w:p>
    <w:p w:rsidR="008C5887" w:rsidRPr="008C5887" w:rsidRDefault="008C5887" w:rsidP="008C5887">
      <w:pPr>
        <w:numPr>
          <w:ilvl w:val="0"/>
          <w:numId w:val="16"/>
        </w:numPr>
        <w:spacing w:after="0" w:line="240" w:lineRule="auto"/>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Măsuri ce au fost întreprinse pentru a facilita aplicarea procedurii de evaluare: Secretarul CS Svetlana Mitrofan a acordat asistenţă metodologică şi informativă factorilor implicaţi .</w:t>
      </w:r>
    </w:p>
    <w:p w:rsidR="008C5887" w:rsidRPr="008C5887" w:rsidRDefault="008C5887" w:rsidP="008C5887">
      <w:pPr>
        <w:numPr>
          <w:ilvl w:val="0"/>
          <w:numId w:val="16"/>
        </w:numPr>
        <w:spacing w:after="0" w:line="240" w:lineRule="auto"/>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Numărul total de funcţionari publici evaluaţi - 4.</w:t>
      </w:r>
    </w:p>
    <w:p w:rsidR="008C5887" w:rsidRPr="008C5887" w:rsidRDefault="008C5887" w:rsidP="008C5887">
      <w:pPr>
        <w:spacing w:after="0" w:line="240" w:lineRule="auto"/>
        <w:jc w:val="both"/>
        <w:rPr>
          <w:rFonts w:ascii="Times New Roman" w:eastAsiaTheme="minorEastAsia" w:hAnsi="Times New Roman" w:cs="Times New Roman"/>
          <w:sz w:val="24"/>
          <w:szCs w:val="24"/>
          <w:lang w:val="ro-RO" w:eastAsia="ro-RO"/>
        </w:rPr>
      </w:pP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i/>
          <w:sz w:val="24"/>
          <w:szCs w:val="24"/>
          <w:lang w:val="ro-RO" w:eastAsia="ro-RO"/>
        </w:rPr>
        <w:lastRenderedPageBreak/>
        <w:t>Scopul şi obiectivele evaluării performanţelor</w:t>
      </w: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sz w:val="24"/>
          <w:szCs w:val="24"/>
          <w:lang w:val="ro-RO" w:eastAsia="ro-RO"/>
        </w:rPr>
        <w:t xml:space="preserve"> Procedura de evaluare a funcţionarilor publici are drept scop îmbunătăţirea performanţei organizaţionale prin aprecierea performanţelor profesionale individuale şi dezvoltarea competenţelor profesionale şi personale necesare funcţionarilor publici. Astfel, evaluarea performanţelor profesionale ale funcţionarilor publici contribuie la:</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corelarea directă dintre activitatea funcţionarului public, sarcinile şi atribuţiile funcţiei publice, obiectivele funcţionarului public, priorităţile şi obiectivele  autorităţii publice din care face parte funcţionarul public;</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aprecierea obiectivă şi imparţială a performanţelor funcţionarilor publici prin compararea rezultatelor obţinute cu obiectivele stabilite;</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asigurarea unui sistem de management al performanţei şi îmbunătăţire continuă a performanţei prin coordonarea şi monitorizarea performanţelor la nivel individual,  autoritate publică;</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asigurarea unui sistem de motivare financiară şi non-financiară a funcţionarilor publici care au demonstrat performanţă înaltă în activitatea profesională;</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identificarea necesităţilor de dezvoltare profesională a funcţionarilor publici;</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identificarea riscurilor, barierelor şi lacunelor în îndeplinirea obiectivelor stabilite în vederea intervenirii la timpul potrivit;</w:t>
      </w:r>
    </w:p>
    <w:p w:rsidR="008C5887" w:rsidRPr="008C5887" w:rsidRDefault="008C5887" w:rsidP="008C5887">
      <w:pPr>
        <w:numPr>
          <w:ilvl w:val="0"/>
          <w:numId w:val="17"/>
        </w:numPr>
        <w:spacing w:after="60" w:line="240" w:lineRule="auto"/>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identificarea lacunelor şi problemelor în resursele puse la dispoziţia funcţionarului public, precum şi redistribuirea lor pentru îmbunătăţirea performanţei acestuia.</w:t>
      </w: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i/>
          <w:sz w:val="24"/>
          <w:szCs w:val="24"/>
          <w:lang w:val="ro-RO" w:eastAsia="ro-RO"/>
        </w:rPr>
        <w:t>Probleme întâmpinate şi soluţiile aplicate</w:t>
      </w:r>
    </w:p>
    <w:p w:rsidR="008C5887" w:rsidRPr="008C5887" w:rsidRDefault="008C5887" w:rsidP="008C5887">
      <w:pPr>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sz w:val="24"/>
          <w:szCs w:val="24"/>
          <w:lang w:val="ro-RO" w:eastAsia="ro-RO"/>
        </w:rPr>
        <w:t xml:space="preserve">Există şi factori care influenţează </w:t>
      </w:r>
      <w:r w:rsidRPr="008C5887">
        <w:rPr>
          <w:rFonts w:ascii="Times New Roman" w:eastAsiaTheme="minorEastAsia" w:hAnsi="Times New Roman" w:cs="Times New Roman"/>
          <w:b/>
          <w:i/>
          <w:sz w:val="24"/>
          <w:szCs w:val="24"/>
          <w:lang w:val="ro-RO" w:eastAsia="ro-RO"/>
        </w:rPr>
        <w:t>indirect</w:t>
      </w:r>
      <w:r w:rsidRPr="008C5887">
        <w:rPr>
          <w:rFonts w:ascii="Times New Roman" w:eastAsiaTheme="minorEastAsia" w:hAnsi="Times New Roman" w:cs="Times New Roman"/>
          <w:sz w:val="24"/>
          <w:szCs w:val="24"/>
          <w:lang w:val="ro-RO" w:eastAsia="ro-RO"/>
        </w:rPr>
        <w:t xml:space="preserve"> performanţa funcţionarilor publici, care nu sunt sub controlul acestuia, dar care pot afecta nivelul acestora de performanţă. Unele dintre cele mai des întîlnite obstacole în calea performanţei sunt:</w:t>
      </w:r>
    </w:p>
    <w:p w:rsidR="008C5887" w:rsidRPr="008C5887" w:rsidRDefault="008C5887" w:rsidP="008C5887">
      <w:pPr>
        <w:numPr>
          <w:ilvl w:val="0"/>
          <w:numId w:val="18"/>
        </w:numPr>
        <w:spacing w:before="60" w:after="0" w:line="240" w:lineRule="auto"/>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i/>
          <w:sz w:val="24"/>
          <w:szCs w:val="24"/>
          <w:lang w:val="ro-RO" w:eastAsia="ro-RO"/>
        </w:rPr>
        <w:t>condiţii de muncă</w:t>
      </w:r>
      <w:r w:rsidRPr="008C5887">
        <w:rPr>
          <w:rFonts w:ascii="Times New Roman" w:eastAsiaTheme="minorEastAsia" w:hAnsi="Times New Roman" w:cs="Times New Roman"/>
          <w:sz w:val="24"/>
          <w:szCs w:val="24"/>
          <w:lang w:val="ro-RO" w:eastAsia="ro-RO"/>
        </w:rPr>
        <w:t xml:space="preserve"> (temperatură, luminozitate, zgomot);</w:t>
      </w:r>
    </w:p>
    <w:p w:rsidR="008C5887" w:rsidRPr="008C5887" w:rsidRDefault="008C5887" w:rsidP="008C5887">
      <w:pPr>
        <w:numPr>
          <w:ilvl w:val="0"/>
          <w:numId w:val="18"/>
        </w:numPr>
        <w:spacing w:after="0" w:line="240" w:lineRule="auto"/>
        <w:jc w:val="both"/>
        <w:rPr>
          <w:rFonts w:ascii="Times New Roman" w:eastAsiaTheme="minorEastAsia" w:hAnsi="Times New Roman" w:cs="Times New Roman"/>
          <w:i/>
          <w:sz w:val="24"/>
          <w:szCs w:val="24"/>
          <w:lang w:val="ro-RO" w:eastAsia="ro-RO"/>
        </w:rPr>
      </w:pPr>
      <w:r w:rsidRPr="008C5887">
        <w:rPr>
          <w:rFonts w:ascii="Times New Roman" w:eastAsiaTheme="minorEastAsia" w:hAnsi="Times New Roman" w:cs="Times New Roman"/>
          <w:i/>
          <w:sz w:val="24"/>
          <w:szCs w:val="24"/>
          <w:lang w:val="ro-RO" w:eastAsia="ro-RO"/>
        </w:rPr>
        <w:t>supraîncărcarea în muncă;</w:t>
      </w:r>
    </w:p>
    <w:p w:rsidR="008C5887" w:rsidRPr="008C5887" w:rsidRDefault="008C5887" w:rsidP="008C5887">
      <w:pPr>
        <w:numPr>
          <w:ilvl w:val="0"/>
          <w:numId w:val="18"/>
        </w:numPr>
        <w:spacing w:after="0" w:line="240" w:lineRule="auto"/>
        <w:jc w:val="both"/>
        <w:rPr>
          <w:rFonts w:ascii="Times New Roman" w:eastAsiaTheme="minorEastAsia" w:hAnsi="Times New Roman" w:cs="Times New Roman"/>
          <w:i/>
          <w:sz w:val="24"/>
          <w:szCs w:val="24"/>
          <w:lang w:val="ro-RO" w:eastAsia="ro-RO"/>
        </w:rPr>
      </w:pPr>
      <w:r w:rsidRPr="008C5887">
        <w:rPr>
          <w:rFonts w:ascii="Times New Roman" w:eastAsiaTheme="minorEastAsia" w:hAnsi="Times New Roman" w:cs="Times New Roman"/>
          <w:i/>
          <w:sz w:val="24"/>
          <w:szCs w:val="24"/>
          <w:lang w:val="ro-RO" w:eastAsia="ro-RO"/>
        </w:rPr>
        <w:t>politici necorespunzătoare de promovare şi salarizare;</w:t>
      </w:r>
    </w:p>
    <w:p w:rsidR="008C5887" w:rsidRPr="008C5887" w:rsidRDefault="008C5887" w:rsidP="008C5887">
      <w:pPr>
        <w:numPr>
          <w:ilvl w:val="0"/>
          <w:numId w:val="18"/>
        </w:numPr>
        <w:spacing w:after="0" w:line="240" w:lineRule="auto"/>
        <w:jc w:val="both"/>
        <w:rPr>
          <w:rFonts w:ascii="Times New Roman" w:eastAsiaTheme="minorEastAsia" w:hAnsi="Times New Roman" w:cs="Times New Roman"/>
          <w:i/>
          <w:sz w:val="24"/>
          <w:szCs w:val="24"/>
          <w:lang w:val="ro-RO" w:eastAsia="ro-RO"/>
        </w:rPr>
      </w:pPr>
      <w:r w:rsidRPr="008C5887">
        <w:rPr>
          <w:rFonts w:ascii="Times New Roman" w:eastAsiaTheme="minorEastAsia" w:hAnsi="Times New Roman" w:cs="Times New Roman"/>
          <w:i/>
          <w:sz w:val="24"/>
          <w:szCs w:val="24"/>
          <w:lang w:val="ro-RO" w:eastAsia="ro-RO"/>
        </w:rPr>
        <w:t xml:space="preserve">lipsa cooperării la locul de muncă </w:t>
      </w:r>
      <w:r w:rsidRPr="008C5887">
        <w:rPr>
          <w:rFonts w:ascii="Times New Roman" w:eastAsiaTheme="minorEastAsia" w:hAnsi="Times New Roman" w:cs="Times New Roman"/>
          <w:sz w:val="24"/>
          <w:szCs w:val="24"/>
          <w:lang w:val="ro-RO" w:eastAsia="ro-RO"/>
        </w:rPr>
        <w:t>(conflicte între angajaţi, comunicare defectuoasă);</w:t>
      </w:r>
    </w:p>
    <w:p w:rsidR="008C5887" w:rsidRPr="008C5887" w:rsidRDefault="008C5887" w:rsidP="008C5887">
      <w:pPr>
        <w:spacing w:after="0" w:line="240" w:lineRule="auto"/>
        <w:jc w:val="both"/>
        <w:rPr>
          <w:rFonts w:ascii="Times New Roman" w:eastAsiaTheme="minorEastAsia" w:hAnsi="Times New Roman" w:cs="Times New Roman"/>
          <w:i/>
          <w:sz w:val="24"/>
          <w:szCs w:val="24"/>
          <w:lang w:val="ro-RO" w:eastAsia="ro-RO"/>
        </w:rPr>
      </w:pP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i/>
          <w:sz w:val="24"/>
          <w:szCs w:val="24"/>
          <w:lang w:val="ro-RO" w:eastAsia="ro-RO"/>
        </w:rPr>
        <w:t>Propuneri de îmbunătăţire a procesului de evaluare</w:t>
      </w:r>
    </w:p>
    <w:p w:rsidR="008C5887" w:rsidRPr="008C5887" w:rsidRDefault="008C5887" w:rsidP="008C5887">
      <w:pPr>
        <w:numPr>
          <w:ilvl w:val="0"/>
          <w:numId w:val="19"/>
        </w:numPr>
        <w:tabs>
          <w:tab w:val="left" w:pos="720"/>
        </w:tabs>
        <w:spacing w:before="120" w:after="0" w:line="240" w:lineRule="atLeast"/>
        <w:ind w:left="720"/>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i/>
          <w:sz w:val="24"/>
          <w:szCs w:val="24"/>
          <w:lang w:val="ro-RO" w:eastAsia="ro-RO"/>
        </w:rPr>
        <w:t xml:space="preserve">obiectivitate </w:t>
      </w:r>
      <w:r w:rsidRPr="008C5887">
        <w:rPr>
          <w:rFonts w:ascii="Times New Roman" w:eastAsiaTheme="minorEastAsia" w:hAnsi="Times New Roman" w:cs="Times New Roman"/>
          <w:sz w:val="24"/>
          <w:szCs w:val="24"/>
          <w:lang w:val="ro-RO" w:eastAsia="ro-RO"/>
        </w:rPr>
        <w:t>– factorii implicaţi în procesul de evaluare vor lua decizii în mod imparţial în baza argumentelor şi faptelor concrete, astfel încît să redea cît se poate de exact atît meritele, performanţele, cît şi deficienţele şi nerealizările înregistrate în activitatea celui evaluat;</w:t>
      </w:r>
    </w:p>
    <w:p w:rsidR="008C5887" w:rsidRPr="008C5887" w:rsidRDefault="008C5887" w:rsidP="008C5887">
      <w:pPr>
        <w:numPr>
          <w:ilvl w:val="0"/>
          <w:numId w:val="19"/>
        </w:numPr>
        <w:tabs>
          <w:tab w:val="left" w:pos="720"/>
        </w:tabs>
        <w:spacing w:after="120" w:line="240" w:lineRule="atLeast"/>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i/>
          <w:sz w:val="24"/>
          <w:szCs w:val="24"/>
          <w:lang w:val="ro-RO" w:eastAsia="ro-RO"/>
        </w:rPr>
        <w:t>cooperare şi comunicare continuă</w:t>
      </w:r>
      <w:r w:rsidRPr="008C5887">
        <w:rPr>
          <w:rFonts w:ascii="Times New Roman" w:eastAsiaTheme="minorEastAsia" w:hAnsi="Times New Roman" w:cs="Times New Roman"/>
          <w:sz w:val="24"/>
          <w:szCs w:val="24"/>
          <w:lang w:val="ro-RO" w:eastAsia="ro-RO"/>
        </w:rPr>
        <w:t xml:space="preserve"> – asigurarea unui mediu cooperant şi menţinerea unor relaţii de comunicare deschisă şi permanentă între toţi factorii implicaţi în procesul de evaluare;</w:t>
      </w:r>
    </w:p>
    <w:p w:rsidR="008C5887" w:rsidRPr="008C5887" w:rsidRDefault="008C5887" w:rsidP="008C5887">
      <w:pPr>
        <w:numPr>
          <w:ilvl w:val="0"/>
          <w:numId w:val="19"/>
        </w:numPr>
        <w:tabs>
          <w:tab w:val="left" w:pos="720"/>
        </w:tabs>
        <w:spacing w:before="120" w:after="120" w:line="240" w:lineRule="atLeast"/>
        <w:ind w:left="714" w:hanging="357"/>
        <w:jc w:val="both"/>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i/>
          <w:sz w:val="24"/>
          <w:szCs w:val="24"/>
          <w:lang w:val="ro-RO" w:eastAsia="ro-RO"/>
        </w:rPr>
        <w:t>respectare a demnităţii</w:t>
      </w:r>
      <w:r w:rsidRPr="008C5887">
        <w:rPr>
          <w:rFonts w:ascii="Times New Roman" w:eastAsiaTheme="minorEastAsia" w:hAnsi="Times New Roman" w:cs="Times New Roman"/>
          <w:sz w:val="24"/>
          <w:szCs w:val="24"/>
          <w:lang w:val="ro-RO" w:eastAsia="ro-RO"/>
        </w:rPr>
        <w:t xml:space="preserve"> – </w:t>
      </w:r>
      <w:r w:rsidRPr="008C5887">
        <w:rPr>
          <w:rFonts w:ascii="Times New Roman" w:eastAsiaTheme="minorEastAsia" w:hAnsi="Times New Roman" w:cs="Times New Roman"/>
          <w:color w:val="000000"/>
          <w:sz w:val="24"/>
          <w:szCs w:val="24"/>
          <w:lang w:val="ro-RO" w:eastAsia="ro-RO"/>
        </w:rPr>
        <w:t>asigurarea unui mediu în cadrul căruia este respectată demnitatea fiecărui funcţionar public şi a unui climat liber de orice manifestare şi formă de hărţuire, exploatare, umilire, dispreţ, ameninţare sau intimidare.</w:t>
      </w:r>
      <w:r w:rsidRPr="008C5887">
        <w:rPr>
          <w:rFonts w:ascii="Times New Roman" w:eastAsiaTheme="minorEastAsia" w:hAnsi="Times New Roman" w:cs="Times New Roman"/>
          <w:sz w:val="24"/>
          <w:szCs w:val="24"/>
          <w:lang w:val="ro-RO" w:eastAsia="ro-RO"/>
        </w:rPr>
        <w:t xml:space="preserve"> </w:t>
      </w: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sz w:val="24"/>
          <w:szCs w:val="24"/>
          <w:lang w:val="ro-RO" w:eastAsia="ro-RO"/>
        </w:rPr>
        <w:t>Aceste principii de bază sunt foarte importante pentru a asigura un mediu cooperant şi deschis între evaluator şi funcţionarul public evaluat.</w:t>
      </w:r>
    </w:p>
    <w:p w:rsidR="008C5887" w:rsidRPr="008C5887" w:rsidRDefault="008C5887" w:rsidP="008C5887">
      <w:pPr>
        <w:rPr>
          <w:rFonts w:ascii="Calibri" w:eastAsiaTheme="minorEastAsia" w:hAnsi="Calibri"/>
          <w:b/>
          <w:i/>
          <w:lang w:val="ro-RO" w:eastAsia="ro-RO"/>
        </w:rPr>
      </w:pPr>
      <w:r w:rsidRPr="008C5887">
        <w:rPr>
          <w:rFonts w:ascii="Calibri" w:eastAsiaTheme="minorEastAsia" w:hAnsi="Calibri"/>
          <w:b/>
          <w:i/>
          <w:lang w:val="ro-RO" w:eastAsia="ro-RO"/>
        </w:rPr>
        <w:t>1. Rezultatele generalizate ale evaluării performanţelor</w:t>
      </w:r>
    </w:p>
    <w:tbl>
      <w:tblPr>
        <w:tblStyle w:val="a5"/>
        <w:tblW w:w="9626" w:type="dxa"/>
        <w:jc w:val="center"/>
        <w:tblLayout w:type="fixed"/>
        <w:tblLook w:val="01E0" w:firstRow="1" w:lastRow="1" w:firstColumn="1" w:lastColumn="1" w:noHBand="0" w:noVBand="0"/>
      </w:tblPr>
      <w:tblGrid>
        <w:gridCol w:w="703"/>
        <w:gridCol w:w="7212"/>
        <w:gridCol w:w="900"/>
        <w:gridCol w:w="811"/>
      </w:tblGrid>
      <w:tr w:rsidR="008C5887" w:rsidRPr="008C5887" w:rsidTr="000E6A4D">
        <w:trPr>
          <w:trHeight w:val="440"/>
          <w:jc w:val="center"/>
        </w:trPr>
        <w:tc>
          <w:tcPr>
            <w:tcW w:w="703" w:type="dxa"/>
            <w:vMerge w:val="restart"/>
            <w:shd w:val="clear" w:color="auto" w:fill="D9D9D9"/>
            <w:vAlign w:val="center"/>
          </w:tcPr>
          <w:p w:rsidR="008C5887" w:rsidRPr="008C5887" w:rsidRDefault="008C5887" w:rsidP="008C5887">
            <w:pPr>
              <w:spacing w:before="20" w:after="20"/>
              <w:jc w:val="center"/>
              <w:rPr>
                <w:rFonts w:ascii="Calibri" w:hAnsi="Calibri"/>
                <w:b/>
                <w:sz w:val="20"/>
                <w:szCs w:val="20"/>
              </w:rPr>
            </w:pPr>
            <w:r w:rsidRPr="008C5887">
              <w:rPr>
                <w:rFonts w:ascii="Calibri" w:hAnsi="Calibri"/>
                <w:b/>
                <w:sz w:val="20"/>
                <w:szCs w:val="20"/>
              </w:rPr>
              <w:lastRenderedPageBreak/>
              <w:t>Nr.</w:t>
            </w:r>
          </w:p>
        </w:tc>
        <w:tc>
          <w:tcPr>
            <w:tcW w:w="7212" w:type="dxa"/>
            <w:vMerge w:val="restart"/>
            <w:shd w:val="clear" w:color="auto" w:fill="D9D9D9"/>
            <w:vAlign w:val="center"/>
          </w:tcPr>
          <w:p w:rsidR="008C5887" w:rsidRPr="008C5887" w:rsidRDefault="008C5887" w:rsidP="008C5887">
            <w:pPr>
              <w:spacing w:before="20" w:after="20"/>
              <w:jc w:val="center"/>
              <w:rPr>
                <w:rFonts w:ascii="Calibri" w:hAnsi="Calibri"/>
                <w:b/>
                <w:sz w:val="20"/>
                <w:szCs w:val="20"/>
              </w:rPr>
            </w:pPr>
            <w:r w:rsidRPr="008C5887">
              <w:rPr>
                <w:rFonts w:ascii="Calibri" w:hAnsi="Calibri"/>
                <w:b/>
                <w:sz w:val="20"/>
                <w:szCs w:val="20"/>
              </w:rPr>
              <w:t>Indicatori</w:t>
            </w:r>
          </w:p>
        </w:tc>
        <w:tc>
          <w:tcPr>
            <w:tcW w:w="1711" w:type="dxa"/>
            <w:gridSpan w:val="2"/>
            <w:shd w:val="clear" w:color="auto" w:fill="D9D9D9"/>
            <w:vAlign w:val="center"/>
          </w:tcPr>
          <w:p w:rsidR="008C5887" w:rsidRPr="008C5887" w:rsidRDefault="008C5887" w:rsidP="008C5887">
            <w:pPr>
              <w:spacing w:before="20" w:after="20"/>
              <w:jc w:val="center"/>
              <w:rPr>
                <w:rFonts w:ascii="Calibri" w:hAnsi="Calibri"/>
                <w:b/>
                <w:sz w:val="20"/>
                <w:szCs w:val="20"/>
              </w:rPr>
            </w:pPr>
            <w:r w:rsidRPr="008C5887">
              <w:rPr>
                <w:rFonts w:ascii="Calibri" w:hAnsi="Calibri"/>
                <w:b/>
                <w:sz w:val="20"/>
                <w:szCs w:val="20"/>
              </w:rPr>
              <w:t xml:space="preserve">Valoarea indicatorilor </w:t>
            </w:r>
          </w:p>
        </w:tc>
      </w:tr>
      <w:tr w:rsidR="008C5887" w:rsidRPr="008C5887" w:rsidTr="000E6A4D">
        <w:trPr>
          <w:trHeight w:val="340"/>
          <w:jc w:val="center"/>
        </w:trPr>
        <w:tc>
          <w:tcPr>
            <w:tcW w:w="703" w:type="dxa"/>
            <w:vMerge/>
            <w:shd w:val="clear" w:color="auto" w:fill="D9D9D9"/>
            <w:vAlign w:val="center"/>
          </w:tcPr>
          <w:p w:rsidR="008C5887" w:rsidRPr="008C5887" w:rsidRDefault="008C5887" w:rsidP="008C5887">
            <w:pPr>
              <w:spacing w:before="20" w:after="20"/>
              <w:jc w:val="center"/>
              <w:rPr>
                <w:rFonts w:ascii="Calibri" w:hAnsi="Calibri"/>
                <w:b/>
                <w:sz w:val="20"/>
                <w:szCs w:val="20"/>
              </w:rPr>
            </w:pPr>
          </w:p>
        </w:tc>
        <w:tc>
          <w:tcPr>
            <w:tcW w:w="7212" w:type="dxa"/>
            <w:vMerge/>
            <w:shd w:val="clear" w:color="auto" w:fill="D9D9D9"/>
            <w:vAlign w:val="center"/>
          </w:tcPr>
          <w:p w:rsidR="008C5887" w:rsidRPr="008C5887" w:rsidRDefault="008C5887" w:rsidP="008C5887">
            <w:pPr>
              <w:spacing w:before="20" w:after="20"/>
              <w:jc w:val="center"/>
              <w:rPr>
                <w:rFonts w:ascii="Calibri" w:hAnsi="Calibri"/>
                <w:b/>
                <w:sz w:val="20"/>
                <w:szCs w:val="20"/>
              </w:rPr>
            </w:pPr>
          </w:p>
        </w:tc>
        <w:tc>
          <w:tcPr>
            <w:tcW w:w="900" w:type="dxa"/>
            <w:shd w:val="clear" w:color="auto" w:fill="D9D9D9"/>
            <w:vAlign w:val="center"/>
          </w:tcPr>
          <w:p w:rsidR="008C5887" w:rsidRPr="008C5887" w:rsidRDefault="008C5887" w:rsidP="008C5887">
            <w:pPr>
              <w:spacing w:before="20" w:after="20"/>
              <w:jc w:val="center"/>
              <w:rPr>
                <w:rFonts w:ascii="Calibri" w:hAnsi="Calibri"/>
                <w:b/>
                <w:sz w:val="20"/>
                <w:szCs w:val="20"/>
              </w:rPr>
            </w:pPr>
            <w:r w:rsidRPr="008C5887">
              <w:rPr>
                <w:rFonts w:ascii="Calibri" w:hAnsi="Calibri"/>
                <w:b/>
                <w:sz w:val="20"/>
                <w:szCs w:val="20"/>
              </w:rPr>
              <w:t>unităţi</w:t>
            </w:r>
          </w:p>
        </w:tc>
        <w:tc>
          <w:tcPr>
            <w:tcW w:w="811" w:type="dxa"/>
            <w:shd w:val="clear" w:color="auto" w:fill="D9D9D9"/>
            <w:vAlign w:val="center"/>
          </w:tcPr>
          <w:p w:rsidR="008C5887" w:rsidRPr="008C5887" w:rsidRDefault="008C5887" w:rsidP="008C5887">
            <w:pPr>
              <w:spacing w:before="20" w:after="20"/>
              <w:jc w:val="center"/>
              <w:rPr>
                <w:rFonts w:ascii="Calibri" w:hAnsi="Calibri"/>
                <w:b/>
                <w:sz w:val="20"/>
                <w:szCs w:val="20"/>
              </w:rPr>
            </w:pPr>
            <w:r w:rsidRPr="008C5887">
              <w:rPr>
                <w:rFonts w:ascii="Calibri" w:hAnsi="Calibri"/>
                <w:b/>
                <w:sz w:val="20"/>
                <w:szCs w:val="20"/>
              </w:rPr>
              <w:t>%</w:t>
            </w:r>
          </w:p>
        </w:tc>
      </w:tr>
      <w:tr w:rsidR="008C5887" w:rsidRPr="008C5887" w:rsidTr="000E6A4D">
        <w:trPr>
          <w:trHeight w:val="252"/>
          <w:jc w:val="center"/>
        </w:trPr>
        <w:tc>
          <w:tcPr>
            <w:tcW w:w="703" w:type="dxa"/>
            <w:vMerge w:val="restart"/>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b/>
                <w:sz w:val="20"/>
                <w:szCs w:val="20"/>
              </w:rPr>
            </w:pPr>
            <w:r w:rsidRPr="008C5887">
              <w:rPr>
                <w:rFonts w:ascii="Calibri" w:hAnsi="Calibri"/>
                <w:b/>
                <w:sz w:val="20"/>
                <w:szCs w:val="20"/>
              </w:rPr>
              <w:t>Numărul total de funcţionari publici evaluaţi:</w:t>
            </w:r>
          </w:p>
        </w:tc>
        <w:tc>
          <w:tcPr>
            <w:tcW w:w="900" w:type="dxa"/>
            <w:vAlign w:val="center"/>
          </w:tcPr>
          <w:p w:rsidR="008C5887" w:rsidRPr="008C5887" w:rsidRDefault="008C5887" w:rsidP="008C5887">
            <w:pPr>
              <w:spacing w:before="20" w:after="20"/>
              <w:jc w:val="center"/>
              <w:rPr>
                <w:rFonts w:ascii="Calibri" w:hAnsi="Calibri"/>
                <w:b/>
                <w:sz w:val="20"/>
                <w:szCs w:val="20"/>
              </w:rPr>
            </w:pPr>
          </w:p>
        </w:tc>
        <w:tc>
          <w:tcPr>
            <w:tcW w:w="811" w:type="dxa"/>
            <w:vAlign w:val="center"/>
          </w:tcPr>
          <w:p w:rsidR="008C5887" w:rsidRPr="008C5887" w:rsidRDefault="008C5887" w:rsidP="008C5887">
            <w:pPr>
              <w:spacing w:before="20" w:after="20"/>
              <w:jc w:val="center"/>
              <w:rPr>
                <w:rFonts w:ascii="Calibri" w:hAnsi="Calibri"/>
                <w:b/>
                <w:sz w:val="20"/>
                <w:szCs w:val="20"/>
              </w:rPr>
            </w:pPr>
          </w:p>
        </w:tc>
      </w:tr>
      <w:tr w:rsidR="008C5887" w:rsidRPr="008C5887" w:rsidTr="000E6A4D">
        <w:trPr>
          <w:trHeight w:val="230"/>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conducere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1</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25</w:t>
            </w:r>
          </w:p>
        </w:tc>
      </w:tr>
      <w:tr w:rsidR="008C5887" w:rsidRPr="008C5887" w:rsidTr="000E6A4D">
        <w:trPr>
          <w:trHeight w:val="176"/>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execuţie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3</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75</w:t>
            </w:r>
          </w:p>
        </w:tc>
      </w:tr>
      <w:tr w:rsidR="008C5887" w:rsidRPr="008C5887" w:rsidTr="000E6A4D">
        <w:trPr>
          <w:trHeight w:val="173"/>
          <w:jc w:val="center"/>
        </w:trPr>
        <w:tc>
          <w:tcPr>
            <w:tcW w:w="703" w:type="dxa"/>
            <w:vMerge w:val="restart"/>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b/>
                <w:sz w:val="20"/>
                <w:szCs w:val="20"/>
              </w:rPr>
            </w:pPr>
            <w:r w:rsidRPr="008C5887">
              <w:rPr>
                <w:rFonts w:ascii="Calibri" w:hAnsi="Calibri"/>
                <w:b/>
                <w:sz w:val="20"/>
                <w:szCs w:val="20"/>
              </w:rPr>
              <w:t xml:space="preserve">Numărul total de funcţionari publici </w:t>
            </w:r>
            <w:r w:rsidRPr="008C5887">
              <w:rPr>
                <w:rFonts w:ascii="Calibri" w:hAnsi="Calibri"/>
                <w:sz w:val="20"/>
                <w:szCs w:val="20"/>
              </w:rPr>
              <w:t xml:space="preserve">de conducere </w:t>
            </w:r>
            <w:r w:rsidRPr="008C5887">
              <w:rPr>
                <w:rFonts w:ascii="Calibri" w:hAnsi="Calibri"/>
                <w:b/>
                <w:sz w:val="20"/>
                <w:szCs w:val="20"/>
              </w:rPr>
              <w:t>care au luat calificativul:</w:t>
            </w:r>
          </w:p>
        </w:tc>
        <w:tc>
          <w:tcPr>
            <w:tcW w:w="900" w:type="dxa"/>
            <w:vAlign w:val="center"/>
          </w:tcPr>
          <w:p w:rsidR="008C5887" w:rsidRPr="008C5887" w:rsidRDefault="008C5887" w:rsidP="008C5887">
            <w:pPr>
              <w:spacing w:before="20" w:after="20"/>
              <w:jc w:val="center"/>
              <w:rPr>
                <w:rFonts w:ascii="Calibri" w:hAnsi="Calibri"/>
                <w:b/>
                <w:sz w:val="20"/>
                <w:szCs w:val="20"/>
              </w:rPr>
            </w:pPr>
          </w:p>
        </w:tc>
        <w:tc>
          <w:tcPr>
            <w:tcW w:w="811" w:type="dxa"/>
            <w:vAlign w:val="center"/>
          </w:tcPr>
          <w:p w:rsidR="008C5887" w:rsidRPr="008C5887" w:rsidRDefault="008C5887" w:rsidP="008C5887">
            <w:pPr>
              <w:spacing w:before="20" w:after="20"/>
              <w:jc w:val="center"/>
              <w:rPr>
                <w:rFonts w:ascii="Calibri" w:hAnsi="Calibri"/>
                <w:b/>
                <w:sz w:val="20"/>
                <w:szCs w:val="20"/>
              </w:rPr>
            </w:pPr>
          </w:p>
        </w:tc>
      </w:tr>
      <w:tr w:rsidR="008C5887" w:rsidRPr="008C5887" w:rsidTr="000E6A4D">
        <w:trPr>
          <w:trHeight w:val="251"/>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foarte bine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1</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100</w:t>
            </w:r>
          </w:p>
        </w:tc>
      </w:tr>
      <w:tr w:rsidR="008C5887" w:rsidRPr="008C5887" w:rsidTr="000E6A4D">
        <w:trPr>
          <w:trHeight w:val="124"/>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bine</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satisfăcător</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nesatisfăcător</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restart"/>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sz w:val="20"/>
                <w:szCs w:val="20"/>
              </w:rPr>
            </w:pPr>
            <w:r w:rsidRPr="008C5887">
              <w:rPr>
                <w:rFonts w:ascii="Calibri" w:hAnsi="Calibri"/>
                <w:b/>
                <w:sz w:val="20"/>
                <w:szCs w:val="20"/>
              </w:rPr>
              <w:t xml:space="preserve">Numărul total de funcţionari publici </w:t>
            </w:r>
            <w:r w:rsidRPr="008C5887">
              <w:rPr>
                <w:rFonts w:ascii="Calibri" w:hAnsi="Calibri"/>
                <w:sz w:val="20"/>
                <w:szCs w:val="20"/>
              </w:rPr>
              <w:t>de execuţie</w:t>
            </w:r>
            <w:r w:rsidRPr="008C5887">
              <w:rPr>
                <w:rFonts w:ascii="Calibri" w:hAnsi="Calibri"/>
                <w:b/>
                <w:sz w:val="20"/>
                <w:szCs w:val="20"/>
              </w:rPr>
              <w:t xml:space="preserve"> care au luat calificativul:</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foarte bine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3</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100</w:t>
            </w: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bine</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satisfăcător</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nesatisfăcător</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restart"/>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b/>
                <w:sz w:val="20"/>
                <w:szCs w:val="20"/>
              </w:rPr>
            </w:pPr>
            <w:r w:rsidRPr="008C5887">
              <w:rPr>
                <w:rFonts w:ascii="Calibri" w:hAnsi="Calibri"/>
                <w:b/>
                <w:sz w:val="20"/>
                <w:szCs w:val="20"/>
              </w:rPr>
              <w:t>Numărul total de funcţionari publici pentru care s-a decis repetarea procedurii de evaluare:</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conducere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execuţie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r w:rsidR="008C5887" w:rsidRPr="008C5887" w:rsidTr="000E6A4D">
        <w:trPr>
          <w:trHeight w:val="73"/>
          <w:jc w:val="center"/>
        </w:trPr>
        <w:tc>
          <w:tcPr>
            <w:tcW w:w="703" w:type="dxa"/>
            <w:vMerge w:val="restart"/>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b/>
                <w:sz w:val="20"/>
                <w:szCs w:val="20"/>
              </w:rPr>
            </w:pPr>
            <w:r w:rsidRPr="008C5887">
              <w:rPr>
                <w:rFonts w:ascii="Calibri" w:hAnsi="Calibri"/>
                <w:b/>
                <w:sz w:val="20"/>
                <w:szCs w:val="20"/>
              </w:rPr>
              <w:t xml:space="preserve">Numărul total de funcţionari publici care au contestat rezultatele evaluării la conducătorul autorităţii publice: </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conducere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r w:rsidR="008C5887" w:rsidRPr="008C5887" w:rsidTr="000E6A4D">
        <w:trPr>
          <w:trHeight w:val="73"/>
          <w:jc w:val="center"/>
        </w:trPr>
        <w:tc>
          <w:tcPr>
            <w:tcW w:w="703" w:type="dxa"/>
            <w:vMerge/>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execuţie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r w:rsidR="008C5887" w:rsidRPr="008C5887" w:rsidTr="000E6A4D">
        <w:trPr>
          <w:trHeight w:val="73"/>
          <w:jc w:val="center"/>
        </w:trPr>
        <w:tc>
          <w:tcPr>
            <w:tcW w:w="703" w:type="dxa"/>
            <w:vMerge w:val="restart"/>
            <w:vAlign w:val="center"/>
          </w:tcPr>
          <w:p w:rsidR="008C5887" w:rsidRPr="008C5887" w:rsidRDefault="008C5887" w:rsidP="008C5887">
            <w:pPr>
              <w:numPr>
                <w:ilvl w:val="0"/>
                <w:numId w:val="22"/>
              </w:numPr>
              <w:spacing w:before="20" w:after="20"/>
              <w:rPr>
                <w:rFonts w:ascii="Calibri" w:hAnsi="Calibri"/>
                <w:sz w:val="20"/>
                <w:szCs w:val="20"/>
              </w:rPr>
            </w:pPr>
          </w:p>
        </w:tc>
        <w:tc>
          <w:tcPr>
            <w:tcW w:w="7212" w:type="dxa"/>
            <w:vAlign w:val="center"/>
          </w:tcPr>
          <w:p w:rsidR="008C5887" w:rsidRPr="008C5887" w:rsidRDefault="008C5887" w:rsidP="008C5887">
            <w:pPr>
              <w:spacing w:before="20" w:after="20"/>
              <w:rPr>
                <w:rFonts w:ascii="Calibri" w:hAnsi="Calibri"/>
                <w:b/>
                <w:sz w:val="20"/>
                <w:szCs w:val="20"/>
              </w:rPr>
            </w:pPr>
            <w:r w:rsidRPr="008C5887">
              <w:rPr>
                <w:rFonts w:ascii="Calibri" w:hAnsi="Calibri"/>
                <w:b/>
                <w:sz w:val="20"/>
                <w:szCs w:val="20"/>
              </w:rPr>
              <w:t>Numărul total de funcţionari publici care au contestat rezultatele evaluării în instanţa de contencios administrativ:</w:t>
            </w:r>
          </w:p>
        </w:tc>
        <w:tc>
          <w:tcPr>
            <w:tcW w:w="900" w:type="dxa"/>
            <w:vAlign w:val="center"/>
          </w:tcPr>
          <w:p w:rsidR="008C5887" w:rsidRPr="008C5887" w:rsidRDefault="008C5887" w:rsidP="008C5887">
            <w:pPr>
              <w:spacing w:before="20" w:after="20"/>
              <w:jc w:val="center"/>
              <w:rPr>
                <w:rFonts w:ascii="Calibri" w:hAnsi="Calibri"/>
                <w:sz w:val="20"/>
                <w:szCs w:val="20"/>
              </w:rPr>
            </w:pPr>
          </w:p>
        </w:tc>
        <w:tc>
          <w:tcPr>
            <w:tcW w:w="811" w:type="dxa"/>
            <w:vAlign w:val="center"/>
          </w:tcPr>
          <w:p w:rsidR="008C5887" w:rsidRPr="008C5887" w:rsidRDefault="008C5887" w:rsidP="008C5887">
            <w:pPr>
              <w:spacing w:before="20" w:after="20"/>
              <w:jc w:val="center"/>
              <w:rPr>
                <w:rFonts w:ascii="Calibri" w:hAnsi="Calibri"/>
                <w:sz w:val="20"/>
                <w:szCs w:val="20"/>
              </w:rPr>
            </w:pPr>
          </w:p>
        </w:tc>
      </w:tr>
      <w:tr w:rsidR="008C5887" w:rsidRPr="008C5887" w:rsidTr="000E6A4D">
        <w:trPr>
          <w:trHeight w:val="73"/>
          <w:jc w:val="center"/>
        </w:trPr>
        <w:tc>
          <w:tcPr>
            <w:tcW w:w="703" w:type="dxa"/>
            <w:vMerge/>
            <w:vAlign w:val="center"/>
          </w:tcPr>
          <w:p w:rsidR="008C5887" w:rsidRPr="008C5887" w:rsidRDefault="008C5887" w:rsidP="008C5887">
            <w:p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conducere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r w:rsidR="008C5887" w:rsidRPr="008C5887" w:rsidTr="000E6A4D">
        <w:trPr>
          <w:trHeight w:val="73"/>
          <w:jc w:val="center"/>
        </w:trPr>
        <w:tc>
          <w:tcPr>
            <w:tcW w:w="703" w:type="dxa"/>
            <w:vMerge/>
            <w:vAlign w:val="center"/>
          </w:tcPr>
          <w:p w:rsidR="008C5887" w:rsidRPr="008C5887" w:rsidRDefault="008C5887" w:rsidP="008C5887">
            <w:pPr>
              <w:spacing w:before="20" w:after="20"/>
              <w:rPr>
                <w:rFonts w:ascii="Calibri" w:hAnsi="Calibri"/>
                <w:sz w:val="20"/>
                <w:szCs w:val="20"/>
              </w:rPr>
            </w:pPr>
          </w:p>
        </w:tc>
        <w:tc>
          <w:tcPr>
            <w:tcW w:w="7212" w:type="dxa"/>
            <w:vAlign w:val="center"/>
          </w:tcPr>
          <w:p w:rsidR="008C5887" w:rsidRPr="008C5887" w:rsidRDefault="008C5887" w:rsidP="008C5887">
            <w:pPr>
              <w:numPr>
                <w:ilvl w:val="0"/>
                <w:numId w:val="21"/>
              </w:numPr>
              <w:spacing w:before="20" w:after="20"/>
              <w:rPr>
                <w:rFonts w:ascii="Calibri" w:hAnsi="Calibri"/>
                <w:sz w:val="20"/>
                <w:szCs w:val="20"/>
              </w:rPr>
            </w:pPr>
            <w:r w:rsidRPr="008C5887">
              <w:rPr>
                <w:rFonts w:ascii="Calibri" w:hAnsi="Calibri"/>
                <w:sz w:val="20"/>
                <w:szCs w:val="20"/>
              </w:rPr>
              <w:t>funcţii publice de execuţie</w:t>
            </w:r>
          </w:p>
        </w:tc>
        <w:tc>
          <w:tcPr>
            <w:tcW w:w="900"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w:t>
            </w:r>
          </w:p>
        </w:tc>
        <w:tc>
          <w:tcPr>
            <w:tcW w:w="811" w:type="dxa"/>
            <w:vAlign w:val="center"/>
          </w:tcPr>
          <w:p w:rsidR="008C5887" w:rsidRPr="008C5887" w:rsidRDefault="008C5887" w:rsidP="008C5887">
            <w:pPr>
              <w:spacing w:before="20" w:after="20"/>
              <w:jc w:val="center"/>
              <w:rPr>
                <w:rFonts w:ascii="Calibri" w:hAnsi="Calibri"/>
                <w:sz w:val="20"/>
                <w:szCs w:val="20"/>
              </w:rPr>
            </w:pPr>
            <w:r w:rsidRPr="008C5887">
              <w:rPr>
                <w:rFonts w:ascii="Calibri" w:hAnsi="Calibri"/>
                <w:sz w:val="20"/>
                <w:szCs w:val="20"/>
              </w:rPr>
              <w:t>0</w:t>
            </w:r>
          </w:p>
        </w:tc>
      </w:tr>
    </w:tbl>
    <w:p w:rsidR="008C5887" w:rsidRPr="008C5887" w:rsidRDefault="008C5887" w:rsidP="008C5887">
      <w:pPr>
        <w:rPr>
          <w:rFonts w:ascii="Calibri" w:eastAsiaTheme="minorEastAsia" w:hAnsi="Calibri"/>
          <w:b/>
          <w:i/>
          <w:lang w:val="ro-RO" w:eastAsia="ro-RO"/>
        </w:rPr>
      </w:pP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i/>
          <w:sz w:val="24"/>
          <w:szCs w:val="24"/>
          <w:lang w:val="ro-RO" w:eastAsia="ro-RO"/>
        </w:rPr>
        <w:t>2. Rezultatele sistematizate  ale  evaluării performanţelor</w:t>
      </w:r>
    </w:p>
    <w:p w:rsidR="008C5887" w:rsidRPr="008C5887" w:rsidRDefault="008C5887" w:rsidP="008C5887">
      <w:pPr>
        <w:rPr>
          <w:rFonts w:ascii="Times New Roman" w:eastAsiaTheme="minorEastAsia" w:hAnsi="Times New Roman" w:cs="Times New Roman"/>
          <w:b/>
          <w:i/>
          <w:sz w:val="24"/>
          <w:szCs w:val="24"/>
          <w:lang w:val="ro-RO" w:eastAsia="ro-RO"/>
        </w:rPr>
      </w:pPr>
      <w:r w:rsidRPr="008C5887">
        <w:rPr>
          <w:rFonts w:ascii="Times New Roman" w:eastAsiaTheme="minorEastAsia" w:hAnsi="Times New Roman" w:cs="Times New Roman"/>
          <w:b/>
          <w:i/>
          <w:sz w:val="24"/>
          <w:szCs w:val="24"/>
          <w:lang w:val="ro-RO" w:eastAsia="ro-RO"/>
        </w:rPr>
        <w:t xml:space="preserve">Lista funcţionarilor publici  evaluaţi, mediile artimetice  cu punctajul final şi calificativele de evaluare acordate </w:t>
      </w:r>
    </w:p>
    <w:tbl>
      <w:tblPr>
        <w:tblStyle w:val="a5"/>
        <w:tblW w:w="4505" w:type="pct"/>
        <w:tblLook w:val="01E0" w:firstRow="1" w:lastRow="1" w:firstColumn="1" w:lastColumn="1" w:noHBand="0" w:noVBand="0"/>
      </w:tblPr>
      <w:tblGrid>
        <w:gridCol w:w="572"/>
        <w:gridCol w:w="2544"/>
        <w:gridCol w:w="1459"/>
        <w:gridCol w:w="1473"/>
        <w:gridCol w:w="1047"/>
        <w:gridCol w:w="1528"/>
      </w:tblGrid>
      <w:tr w:rsidR="008C5887" w:rsidRPr="008C5887" w:rsidTr="000E6A4D">
        <w:tc>
          <w:tcPr>
            <w:tcW w:w="332" w:type="pct"/>
            <w:shd w:val="clear" w:color="auto" w:fill="E6E6E6"/>
            <w:vAlign w:val="center"/>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Nr. d/o</w:t>
            </w:r>
          </w:p>
        </w:tc>
        <w:tc>
          <w:tcPr>
            <w:tcW w:w="1475" w:type="pct"/>
            <w:tcBorders>
              <w:bottom w:val="single" w:sz="4" w:space="0" w:color="auto"/>
            </w:tcBorders>
            <w:shd w:val="clear" w:color="auto" w:fill="E6E6E6"/>
            <w:vAlign w:val="center"/>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Numele şi prenumele funcţionarului public evaluat</w:t>
            </w:r>
          </w:p>
        </w:tc>
        <w:tc>
          <w:tcPr>
            <w:tcW w:w="846" w:type="pct"/>
            <w:tcBorders>
              <w:bottom w:val="single" w:sz="4" w:space="0" w:color="auto"/>
            </w:tcBorders>
            <w:shd w:val="clear" w:color="auto" w:fill="E6E6E6"/>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Media artimetică a evaluării îndeplinirii obiectivelor individuale de activitate stabilite</w:t>
            </w:r>
          </w:p>
        </w:tc>
        <w:tc>
          <w:tcPr>
            <w:tcW w:w="854" w:type="pct"/>
            <w:tcBorders>
              <w:bottom w:val="single" w:sz="4" w:space="0" w:color="auto"/>
            </w:tcBorders>
            <w:shd w:val="clear" w:color="auto" w:fill="E6E6E6"/>
            <w:vAlign w:val="center"/>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Media artimetică obţinută conform aprecierii nivelului de manifestare</w:t>
            </w:r>
          </w:p>
        </w:tc>
        <w:tc>
          <w:tcPr>
            <w:tcW w:w="607" w:type="pct"/>
            <w:tcBorders>
              <w:bottom w:val="single" w:sz="4" w:space="0" w:color="auto"/>
            </w:tcBorders>
            <w:shd w:val="clear" w:color="auto" w:fill="E6E6E6"/>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Punctaj final</w:t>
            </w:r>
          </w:p>
        </w:tc>
        <w:tc>
          <w:tcPr>
            <w:tcW w:w="886" w:type="pct"/>
            <w:tcBorders>
              <w:bottom w:val="single" w:sz="4" w:space="0" w:color="auto"/>
            </w:tcBorders>
            <w:shd w:val="clear" w:color="auto" w:fill="E6E6E6"/>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Calificativul</w:t>
            </w:r>
          </w:p>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de evaluare  obţinut</w:t>
            </w:r>
          </w:p>
        </w:tc>
      </w:tr>
      <w:tr w:rsidR="008C5887" w:rsidRPr="008C5887" w:rsidTr="000E6A4D">
        <w:tc>
          <w:tcPr>
            <w:tcW w:w="332" w:type="pct"/>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1.</w:t>
            </w:r>
          </w:p>
        </w:tc>
        <w:tc>
          <w:tcPr>
            <w:tcW w:w="1475"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Mitrofan  Svetlana</w:t>
            </w:r>
          </w:p>
        </w:tc>
        <w:tc>
          <w:tcPr>
            <w:tcW w:w="84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w:t>
            </w:r>
          </w:p>
        </w:tc>
        <w:tc>
          <w:tcPr>
            <w:tcW w:w="854"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607"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88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Foarte bine</w:t>
            </w:r>
          </w:p>
        </w:tc>
      </w:tr>
      <w:tr w:rsidR="008C5887" w:rsidRPr="008C5887" w:rsidTr="000E6A4D">
        <w:tc>
          <w:tcPr>
            <w:tcW w:w="332" w:type="pct"/>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2.</w:t>
            </w:r>
          </w:p>
        </w:tc>
        <w:tc>
          <w:tcPr>
            <w:tcW w:w="1475" w:type="pct"/>
            <w:shd w:val="clear" w:color="auto" w:fill="FFFFFF"/>
          </w:tcPr>
          <w:p w:rsidR="008C5887" w:rsidRPr="008C5887" w:rsidRDefault="008C5887" w:rsidP="008C5887">
            <w:pPr>
              <w:spacing w:before="60" w:after="60"/>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 xml:space="preserve">   Fonari     Natalia </w:t>
            </w:r>
          </w:p>
        </w:tc>
        <w:tc>
          <w:tcPr>
            <w:tcW w:w="84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3,80</w:t>
            </w:r>
          </w:p>
        </w:tc>
        <w:tc>
          <w:tcPr>
            <w:tcW w:w="854"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3,66</w:t>
            </w:r>
          </w:p>
        </w:tc>
        <w:tc>
          <w:tcPr>
            <w:tcW w:w="607"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3,73</w:t>
            </w:r>
          </w:p>
        </w:tc>
        <w:tc>
          <w:tcPr>
            <w:tcW w:w="88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Foarte bine</w:t>
            </w:r>
          </w:p>
        </w:tc>
      </w:tr>
      <w:tr w:rsidR="008C5887" w:rsidRPr="008C5887" w:rsidTr="000E6A4D">
        <w:tc>
          <w:tcPr>
            <w:tcW w:w="332" w:type="pct"/>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3.</w:t>
            </w:r>
          </w:p>
        </w:tc>
        <w:tc>
          <w:tcPr>
            <w:tcW w:w="1475" w:type="pct"/>
            <w:shd w:val="clear" w:color="auto" w:fill="FFFFFF"/>
          </w:tcPr>
          <w:p w:rsidR="008C5887" w:rsidRPr="008C5887" w:rsidRDefault="008C5887" w:rsidP="008C5887">
            <w:pPr>
              <w:spacing w:before="60" w:after="60"/>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 xml:space="preserve">    Savin     Iustin</w:t>
            </w:r>
          </w:p>
        </w:tc>
        <w:tc>
          <w:tcPr>
            <w:tcW w:w="84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854"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3,33</w:t>
            </w:r>
          </w:p>
        </w:tc>
        <w:tc>
          <w:tcPr>
            <w:tcW w:w="607"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3,54</w:t>
            </w:r>
          </w:p>
        </w:tc>
        <w:tc>
          <w:tcPr>
            <w:tcW w:w="88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Foarte bine</w:t>
            </w:r>
          </w:p>
        </w:tc>
      </w:tr>
      <w:tr w:rsidR="008C5887" w:rsidRPr="008C5887" w:rsidTr="000E6A4D">
        <w:tc>
          <w:tcPr>
            <w:tcW w:w="332" w:type="pct"/>
          </w:tcPr>
          <w:p w:rsidR="008C5887" w:rsidRPr="008C5887" w:rsidRDefault="008C5887" w:rsidP="008C5887">
            <w:pPr>
              <w:spacing w:before="60" w:after="60"/>
              <w:jc w:val="center"/>
              <w:rPr>
                <w:rFonts w:ascii="Times New Roman" w:hAnsi="Times New Roman" w:cs="Times New Roman"/>
                <w:b/>
                <w:bCs/>
                <w:kern w:val="32"/>
                <w:sz w:val="24"/>
                <w:szCs w:val="24"/>
              </w:rPr>
            </w:pPr>
            <w:r w:rsidRPr="008C5887">
              <w:rPr>
                <w:rFonts w:ascii="Times New Roman" w:hAnsi="Times New Roman" w:cs="Times New Roman"/>
                <w:b/>
                <w:bCs/>
                <w:kern w:val="32"/>
                <w:sz w:val="24"/>
                <w:szCs w:val="24"/>
              </w:rPr>
              <w:t>4.</w:t>
            </w:r>
          </w:p>
        </w:tc>
        <w:tc>
          <w:tcPr>
            <w:tcW w:w="1475" w:type="pct"/>
            <w:shd w:val="clear" w:color="auto" w:fill="FFFFFF"/>
          </w:tcPr>
          <w:p w:rsidR="008C5887" w:rsidRPr="008C5887" w:rsidRDefault="008C5887" w:rsidP="008C5887">
            <w:pPr>
              <w:spacing w:before="60" w:after="60"/>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 xml:space="preserve">   Mocanu  Adriana</w:t>
            </w:r>
          </w:p>
        </w:tc>
        <w:tc>
          <w:tcPr>
            <w:tcW w:w="84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854"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607"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4,00</w:t>
            </w:r>
          </w:p>
        </w:tc>
        <w:tc>
          <w:tcPr>
            <w:tcW w:w="886" w:type="pct"/>
            <w:shd w:val="clear" w:color="auto" w:fill="FFFFFF"/>
          </w:tcPr>
          <w:p w:rsidR="008C5887" w:rsidRPr="008C5887" w:rsidRDefault="008C5887" w:rsidP="008C5887">
            <w:pPr>
              <w:spacing w:before="60" w:after="60"/>
              <w:jc w:val="center"/>
              <w:rPr>
                <w:rFonts w:ascii="Times New Roman" w:hAnsi="Times New Roman" w:cs="Times New Roman"/>
                <w:b/>
                <w:bCs/>
                <w:color w:val="000000" w:themeColor="text1"/>
                <w:kern w:val="32"/>
                <w:sz w:val="24"/>
                <w:szCs w:val="24"/>
              </w:rPr>
            </w:pPr>
            <w:r w:rsidRPr="008C5887">
              <w:rPr>
                <w:rFonts w:ascii="Times New Roman" w:hAnsi="Times New Roman" w:cs="Times New Roman"/>
                <w:b/>
                <w:bCs/>
                <w:color w:val="000000" w:themeColor="text1"/>
                <w:kern w:val="32"/>
                <w:sz w:val="24"/>
                <w:szCs w:val="24"/>
              </w:rPr>
              <w:t>Foarte bine</w:t>
            </w:r>
          </w:p>
        </w:tc>
      </w:tr>
    </w:tbl>
    <w:p w:rsidR="008C5887" w:rsidRPr="008C5887" w:rsidRDefault="008C5887" w:rsidP="008C5887">
      <w:pPr>
        <w:jc w:val="center"/>
        <w:rPr>
          <w:rFonts w:ascii="Times New Roman" w:eastAsiaTheme="minorEastAsia" w:hAnsi="Times New Roman" w:cs="Times New Roman"/>
          <w:b/>
          <w:sz w:val="24"/>
          <w:szCs w:val="24"/>
          <w:lang w:val="ro-RO" w:eastAsia="ro-RO"/>
        </w:rPr>
      </w:pPr>
    </w:p>
    <w:p w:rsidR="008C5887" w:rsidRPr="008C5887" w:rsidRDefault="008C5887" w:rsidP="008C5887">
      <w:pPr>
        <w:jc w:val="cente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b/>
          <w:sz w:val="24"/>
          <w:szCs w:val="24"/>
          <w:lang w:val="ro-RO" w:eastAsia="ro-RO"/>
        </w:rPr>
        <w:lastRenderedPageBreak/>
        <w:t>Primar                                              Tofan  Serghei</w:t>
      </w:r>
    </w:p>
    <w:p w:rsidR="008C5887" w:rsidRPr="008C5887" w:rsidRDefault="008C5887" w:rsidP="008C5887">
      <w:pPr>
        <w:jc w:val="center"/>
        <w:rPr>
          <w:rFonts w:ascii="Times New Roman" w:eastAsiaTheme="minorEastAsia" w:hAnsi="Times New Roman" w:cs="Times New Roman"/>
          <w:b/>
          <w:sz w:val="24"/>
          <w:szCs w:val="24"/>
          <w:lang w:val="ro-RO" w:eastAsia="ro-RO"/>
        </w:rPr>
      </w:pPr>
    </w:p>
    <w:p w:rsidR="008C5887" w:rsidRPr="008C5887" w:rsidRDefault="008C5887" w:rsidP="008C5887">
      <w:pPr>
        <w:jc w:val="center"/>
        <w:rPr>
          <w:rFonts w:ascii="Times New Roman" w:eastAsiaTheme="minorEastAsia" w:hAnsi="Times New Roman" w:cs="Times New Roman"/>
          <w:b/>
          <w:sz w:val="24"/>
          <w:szCs w:val="24"/>
          <w:lang w:val="ro-RO" w:eastAsia="ro-RO"/>
        </w:rPr>
      </w:pPr>
    </w:p>
    <w:p w:rsidR="008C5887" w:rsidRPr="008C5887" w:rsidRDefault="008C5887" w:rsidP="008C5887">
      <w:pPr>
        <w:jc w:val="center"/>
        <w:rPr>
          <w:rFonts w:ascii="Times New Roman" w:eastAsiaTheme="minorEastAsia" w:hAnsi="Times New Roman" w:cs="Times New Roman"/>
          <w:b/>
          <w:sz w:val="24"/>
          <w:szCs w:val="24"/>
          <w:lang w:val="ro-RO" w:eastAsia="ro-RO"/>
        </w:rPr>
      </w:pPr>
    </w:p>
    <w:p w:rsidR="008C5887" w:rsidRPr="008C5887" w:rsidRDefault="008C5887" w:rsidP="008C5887">
      <w:pPr>
        <w:spacing w:after="0" w:line="240" w:lineRule="auto"/>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Anexă nr.</w:t>
      </w:r>
      <w:proofErr w:type="gramEnd"/>
      <w:r w:rsidRPr="008C5887">
        <w:rPr>
          <w:rFonts w:ascii="Times New Roman" w:eastAsiaTheme="minorEastAsia" w:hAnsi="Times New Roman" w:cs="Times New Roman"/>
          <w:b/>
          <w:sz w:val="24"/>
          <w:szCs w:val="24"/>
          <w:lang w:val="en-US" w:eastAsia="ro-RO"/>
        </w:rPr>
        <w:t xml:space="preserve"> 2 </w:t>
      </w:r>
    </w:p>
    <w:p w:rsidR="008C5887" w:rsidRPr="008C5887" w:rsidRDefault="008C5887" w:rsidP="008C5887">
      <w:pPr>
        <w:spacing w:after="0" w:line="240" w:lineRule="auto"/>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la</w:t>
      </w:r>
      <w:proofErr w:type="gramEnd"/>
      <w:r w:rsidRPr="008C5887">
        <w:rPr>
          <w:rFonts w:ascii="Times New Roman" w:eastAsiaTheme="minorEastAsia" w:hAnsi="Times New Roman" w:cs="Times New Roman"/>
          <w:b/>
          <w:sz w:val="24"/>
          <w:szCs w:val="24"/>
          <w:lang w:val="en-US" w:eastAsia="ro-RO"/>
        </w:rPr>
        <w:t xml:space="preserve"> Decizia nr. 1 / 4</w:t>
      </w:r>
    </w:p>
    <w:p w:rsidR="008C5887" w:rsidRPr="008C5887" w:rsidRDefault="008C5887" w:rsidP="008C5887">
      <w:pPr>
        <w:spacing w:after="0" w:line="240" w:lineRule="auto"/>
        <w:jc w:val="right"/>
        <w:rPr>
          <w:rFonts w:ascii="Times New Roman" w:eastAsiaTheme="minorEastAsia" w:hAnsi="Times New Roman" w:cs="Times New Roman"/>
          <w:b/>
          <w:sz w:val="24"/>
          <w:szCs w:val="24"/>
          <w:lang w:val="en-US" w:eastAsia="ro-RO"/>
        </w:rPr>
      </w:pPr>
      <w:proofErr w:type="gramStart"/>
      <w:r w:rsidRPr="008C5887">
        <w:rPr>
          <w:rFonts w:ascii="Times New Roman" w:eastAsiaTheme="minorEastAsia" w:hAnsi="Times New Roman" w:cs="Times New Roman"/>
          <w:b/>
          <w:sz w:val="24"/>
          <w:szCs w:val="24"/>
          <w:lang w:val="en-US" w:eastAsia="ro-RO"/>
        </w:rPr>
        <w:t>din</w:t>
      </w:r>
      <w:proofErr w:type="gramEnd"/>
      <w:r w:rsidRPr="008C5887">
        <w:rPr>
          <w:rFonts w:ascii="Times New Roman" w:eastAsiaTheme="minorEastAsia" w:hAnsi="Times New Roman" w:cs="Times New Roman"/>
          <w:b/>
          <w:sz w:val="24"/>
          <w:szCs w:val="24"/>
          <w:lang w:val="en-US" w:eastAsia="ro-RO"/>
        </w:rPr>
        <w:t xml:space="preserve"> 15. 03. 2022</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r w:rsidRPr="008C5887">
        <w:rPr>
          <w:rFonts w:ascii="Times New Roman" w:eastAsiaTheme="minorEastAsia" w:hAnsi="Times New Roman" w:cs="Times New Roman"/>
          <w:b/>
          <w:sz w:val="28"/>
          <w:szCs w:val="28"/>
          <w:lang w:val="en-US" w:eastAsia="ro-RO"/>
        </w:rPr>
        <w:t>RAPORT</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proofErr w:type="gramStart"/>
      <w:r w:rsidRPr="008C5887">
        <w:rPr>
          <w:rFonts w:ascii="Times New Roman" w:eastAsiaTheme="minorEastAsia" w:hAnsi="Times New Roman" w:cs="Times New Roman"/>
          <w:b/>
          <w:sz w:val="28"/>
          <w:szCs w:val="28"/>
          <w:lang w:val="en-US" w:eastAsia="ro-RO"/>
        </w:rPr>
        <w:t>privind</w:t>
      </w:r>
      <w:proofErr w:type="gramEnd"/>
      <w:r w:rsidRPr="008C5887">
        <w:rPr>
          <w:rFonts w:ascii="Times New Roman" w:eastAsiaTheme="minorEastAsia" w:hAnsi="Times New Roman" w:cs="Times New Roman"/>
          <w:b/>
          <w:sz w:val="28"/>
          <w:szCs w:val="28"/>
          <w:lang w:val="en-US" w:eastAsia="ro-RO"/>
        </w:rPr>
        <w:t xml:space="preserve"> implementarea Planului </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proofErr w:type="gramStart"/>
      <w:r w:rsidRPr="008C5887">
        <w:rPr>
          <w:rFonts w:ascii="Times New Roman" w:eastAsiaTheme="minorEastAsia" w:hAnsi="Times New Roman" w:cs="Times New Roman"/>
          <w:b/>
          <w:sz w:val="28"/>
          <w:szCs w:val="28"/>
          <w:lang w:val="en-US" w:eastAsia="ro-RO"/>
        </w:rPr>
        <w:t>de</w:t>
      </w:r>
      <w:proofErr w:type="gramEnd"/>
      <w:r w:rsidRPr="008C5887">
        <w:rPr>
          <w:rFonts w:ascii="Times New Roman" w:eastAsiaTheme="minorEastAsia" w:hAnsi="Times New Roman" w:cs="Times New Roman"/>
          <w:b/>
          <w:sz w:val="28"/>
          <w:szCs w:val="28"/>
          <w:lang w:val="en-US" w:eastAsia="ro-RO"/>
        </w:rPr>
        <w:t xml:space="preserve"> dezvoltare a capacităţii administrative  a</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r w:rsidRPr="008C5887">
        <w:rPr>
          <w:rFonts w:ascii="Times New Roman" w:eastAsiaTheme="minorEastAsia" w:hAnsi="Times New Roman" w:cs="Times New Roman"/>
          <w:b/>
          <w:sz w:val="28"/>
          <w:szCs w:val="28"/>
          <w:lang w:val="en-US" w:eastAsia="ro-RO"/>
        </w:rPr>
        <w:t xml:space="preserve"> </w:t>
      </w:r>
      <w:proofErr w:type="gramStart"/>
      <w:r w:rsidRPr="008C5887">
        <w:rPr>
          <w:rFonts w:ascii="Times New Roman" w:eastAsiaTheme="minorEastAsia" w:hAnsi="Times New Roman" w:cs="Times New Roman"/>
          <w:b/>
          <w:sz w:val="28"/>
          <w:szCs w:val="28"/>
          <w:lang w:val="en-US" w:eastAsia="ro-RO"/>
        </w:rPr>
        <w:t>autorităţilor  administraţiei</w:t>
      </w:r>
      <w:proofErr w:type="gramEnd"/>
      <w:r w:rsidRPr="008C5887">
        <w:rPr>
          <w:rFonts w:ascii="Times New Roman" w:eastAsiaTheme="minorEastAsia" w:hAnsi="Times New Roman" w:cs="Times New Roman"/>
          <w:b/>
          <w:sz w:val="28"/>
          <w:szCs w:val="28"/>
          <w:lang w:val="en-US" w:eastAsia="ro-RO"/>
        </w:rPr>
        <w:t xml:space="preserve"> publice locale</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proofErr w:type="gramStart"/>
      <w:r w:rsidRPr="008C5887">
        <w:rPr>
          <w:rFonts w:ascii="Times New Roman" w:eastAsiaTheme="minorEastAsia" w:hAnsi="Times New Roman" w:cs="Times New Roman"/>
          <w:b/>
          <w:sz w:val="28"/>
          <w:szCs w:val="28"/>
          <w:lang w:val="en-US" w:eastAsia="ro-RO"/>
        </w:rPr>
        <w:t>a  satului</w:t>
      </w:r>
      <w:proofErr w:type="gramEnd"/>
      <w:r w:rsidRPr="008C5887">
        <w:rPr>
          <w:rFonts w:ascii="Times New Roman" w:eastAsiaTheme="minorEastAsia" w:hAnsi="Times New Roman" w:cs="Times New Roman"/>
          <w:b/>
          <w:sz w:val="28"/>
          <w:szCs w:val="28"/>
          <w:lang w:val="en-US" w:eastAsia="ro-RO"/>
        </w:rPr>
        <w:t xml:space="preserve"> Grozeşti, raionul Nisporeni,</w:t>
      </w:r>
    </w:p>
    <w:p w:rsidR="008C5887" w:rsidRPr="008C5887" w:rsidRDefault="008C5887" w:rsidP="008C5887">
      <w:pPr>
        <w:spacing w:after="0" w:line="240" w:lineRule="auto"/>
        <w:jc w:val="center"/>
        <w:rPr>
          <w:rFonts w:ascii="Times New Roman" w:eastAsiaTheme="minorEastAsia" w:hAnsi="Times New Roman" w:cs="Times New Roman"/>
          <w:b/>
          <w:sz w:val="28"/>
          <w:szCs w:val="28"/>
          <w:lang w:val="en-US" w:eastAsia="ro-RO"/>
        </w:rPr>
      </w:pPr>
      <w:proofErr w:type="gramStart"/>
      <w:r w:rsidRPr="008C5887">
        <w:rPr>
          <w:rFonts w:ascii="Times New Roman" w:eastAsiaTheme="minorEastAsia" w:hAnsi="Times New Roman" w:cs="Times New Roman"/>
          <w:b/>
          <w:sz w:val="28"/>
          <w:szCs w:val="28"/>
          <w:lang w:val="en-US" w:eastAsia="ro-RO"/>
        </w:rPr>
        <w:t>pentru</w:t>
      </w:r>
      <w:proofErr w:type="gramEnd"/>
      <w:r w:rsidRPr="008C5887">
        <w:rPr>
          <w:rFonts w:ascii="Times New Roman" w:eastAsiaTheme="minorEastAsia" w:hAnsi="Times New Roman" w:cs="Times New Roman"/>
          <w:b/>
          <w:sz w:val="28"/>
          <w:szCs w:val="28"/>
          <w:lang w:val="en-US" w:eastAsia="ro-RO"/>
        </w:rPr>
        <w:t xml:space="preserve"> perioada  2021</w:t>
      </w:r>
    </w:p>
    <w:p w:rsidR="008C5887" w:rsidRPr="008C5887" w:rsidRDefault="008C5887" w:rsidP="008C5887">
      <w:pPr>
        <w:spacing w:line="240" w:lineRule="auto"/>
        <w:rPr>
          <w:rFonts w:ascii="Times New Roman" w:eastAsiaTheme="minorEastAsia" w:hAnsi="Times New Roman" w:cs="Times New Roman"/>
          <w:color w:val="000000"/>
          <w:sz w:val="24"/>
          <w:szCs w:val="24"/>
          <w:lang w:val="ro-RO" w:eastAsia="ro-RO"/>
        </w:rPr>
      </w:pPr>
    </w:p>
    <w:p w:rsidR="008C5887" w:rsidRPr="008C5887" w:rsidRDefault="008C5887" w:rsidP="008C5887">
      <w:pPr>
        <w:rPr>
          <w:rFonts w:ascii="Times New Roman" w:eastAsiaTheme="minorEastAsia" w:hAnsi="Times New Roman" w:cs="Times New Roman"/>
          <w:color w:val="000000"/>
          <w:sz w:val="16"/>
          <w:szCs w:val="16"/>
          <w:lang w:val="ro-RO" w:eastAsia="ro-RO"/>
        </w:rPr>
      </w:pPr>
      <w:r w:rsidRPr="008C5887">
        <w:rPr>
          <w:rFonts w:ascii="Times New Roman" w:eastAsiaTheme="minorEastAsia" w:hAnsi="Times New Roman" w:cs="Times New Roman"/>
          <w:color w:val="000000"/>
          <w:sz w:val="24"/>
          <w:szCs w:val="24"/>
          <w:lang w:val="ro-RO" w:eastAsia="ro-RO"/>
        </w:rPr>
        <w:t xml:space="preserve">Vorbind despre </w:t>
      </w:r>
      <w:r w:rsidRPr="008C5887">
        <w:rPr>
          <w:rFonts w:ascii="Times New Roman" w:eastAsiaTheme="minorEastAsia" w:hAnsi="Times New Roman" w:cs="Times New Roman"/>
          <w:b/>
          <w:bCs/>
          <w:color w:val="000000"/>
          <w:sz w:val="24"/>
          <w:szCs w:val="24"/>
          <w:lang w:val="ro-RO" w:eastAsia="ro-RO"/>
        </w:rPr>
        <w:t>capacitatea administrativă</w:t>
      </w:r>
      <w:r w:rsidRPr="008C5887">
        <w:rPr>
          <w:rFonts w:ascii="Times New Roman" w:eastAsiaTheme="minorEastAsia" w:hAnsi="Times New Roman" w:cs="Times New Roman"/>
          <w:color w:val="000000"/>
          <w:sz w:val="24"/>
          <w:szCs w:val="24"/>
          <w:lang w:val="ro-RO" w:eastAsia="ro-RO"/>
        </w:rPr>
        <w:t>, se ştie că ea reprezintă aptitudinea instituţiilor</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publice de a identifica obiective clare, institui priorităţi precise şi a le implementa eficient.</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Aspecte tipice ale capacităţii administrative sunt, spre exemplu, calitatea funcţionarilor</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publici, gradul de diseminare a tehnologiilor informaţionale avansate în sectorul public,</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relaţiile intra-guvernamentale şi stilul de interacţiune dintre guvern şi mediul economic şi</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social, rapiditatea cu care sunt luate deciziile şi calitatea acestora</w:t>
      </w:r>
      <w:r w:rsidRPr="008C5887">
        <w:rPr>
          <w:rFonts w:ascii="Times New Roman" w:eastAsiaTheme="minorEastAsia" w:hAnsi="Times New Roman" w:cs="Times New Roman"/>
          <w:color w:val="000000"/>
          <w:sz w:val="16"/>
          <w:szCs w:val="16"/>
          <w:lang w:val="ro-RO" w:eastAsia="ro-RO"/>
        </w:rPr>
        <w:t>.</w:t>
      </w:r>
    </w:p>
    <w:p w:rsidR="008C5887" w:rsidRPr="008C5887" w:rsidRDefault="008C5887" w:rsidP="008C5887">
      <w:pPr>
        <w:rPr>
          <w:rFonts w:ascii="Times New Roman" w:eastAsiaTheme="minorEastAsia" w:hAnsi="Times New Roman" w:cs="Times New Roman"/>
          <w:sz w:val="24"/>
          <w:szCs w:val="24"/>
          <w:lang w:val="ro-RO" w:eastAsia="ro-RO"/>
        </w:rPr>
      </w:pPr>
      <w:r w:rsidRPr="008C5887">
        <w:rPr>
          <w:rFonts w:ascii="Times New Roman" w:eastAsiaTheme="minorEastAsia" w:hAnsi="Times New Roman" w:cs="Times New Roman"/>
          <w:b/>
          <w:sz w:val="24"/>
          <w:szCs w:val="24"/>
          <w:lang w:val="ro-RO" w:eastAsia="ro-RO"/>
        </w:rPr>
        <w:t xml:space="preserve">Scopul </w:t>
      </w:r>
      <w:r w:rsidRPr="008C5887">
        <w:rPr>
          <w:rFonts w:ascii="Times New Roman" w:eastAsiaTheme="minorEastAsia" w:hAnsi="Times New Roman" w:cs="Times New Roman"/>
          <w:sz w:val="24"/>
          <w:szCs w:val="24"/>
          <w:lang w:val="ro-RO" w:eastAsia="ro-RO"/>
        </w:rPr>
        <w:t>analizei funcţionale este de a asista autoritatea locală să-şi evalueze în mod obiectiv, sistematic şi calitativ propriile activităţi vizînd perfecţionarea organizării instituţionale şi sporirea eficienţei acesteia măsurînd indicatorii de evaluare a funcţiilor îndeplinite în materie de costuri, eficacitate, calitate şi  plenitudine.</w:t>
      </w:r>
    </w:p>
    <w:p w:rsidR="008C5887" w:rsidRPr="008C5887" w:rsidRDefault="008C5887" w:rsidP="008C5887">
      <w:pPr>
        <w:rPr>
          <w:rFonts w:ascii="Times New Roman" w:eastAsiaTheme="minorEastAsia" w:hAnsi="Times New Roman" w:cs="Times New Roman"/>
          <w:b/>
          <w:color w:val="000000"/>
          <w:sz w:val="16"/>
          <w:szCs w:val="16"/>
          <w:lang w:val="ro-RO" w:eastAsia="ro-RO"/>
        </w:rPr>
      </w:pPr>
      <w:r w:rsidRPr="008C5887">
        <w:rPr>
          <w:rFonts w:ascii="Times New Roman" w:eastAsiaTheme="minorEastAsia" w:hAnsi="Times New Roman" w:cs="Times New Roman"/>
          <w:b/>
          <w:bCs/>
          <w:color w:val="000000"/>
          <w:sz w:val="24"/>
          <w:lang w:val="ro-RO" w:eastAsia="ro-RO"/>
        </w:rPr>
        <w:t xml:space="preserve">Pentru evaluarea capacităţilor autorităţilor APL Grozești  </w:t>
      </w:r>
      <w:r w:rsidRPr="008C5887">
        <w:rPr>
          <w:rFonts w:ascii="Times New Roman" w:eastAsiaTheme="minorEastAsia" w:hAnsi="Times New Roman" w:cs="Times New Roman"/>
          <w:b/>
          <w:color w:val="000000"/>
          <w:sz w:val="24"/>
          <w:lang w:val="ro-RO" w:eastAsia="ro-RO"/>
        </w:rPr>
        <w:t>au fost identificaţi următorii indicatori:</w:t>
      </w:r>
      <w:r w:rsidRPr="008C5887">
        <w:rPr>
          <w:rFonts w:ascii="Times New Roman" w:eastAsiaTheme="minorEastAsia" w:hAnsi="Times New Roman" w:cs="Times New Roman"/>
          <w:b/>
          <w:color w:val="000000"/>
          <w:lang w:val="ro-RO" w:eastAsia="ro-RO"/>
        </w:rPr>
        <w:br/>
      </w:r>
      <w:r w:rsidRPr="008C5887">
        <w:rPr>
          <w:rFonts w:ascii="Times New Roman" w:eastAsiaTheme="minorEastAsia" w:hAnsi="Times New Roman" w:cs="Times New Roman"/>
          <w:b/>
          <w:i/>
          <w:iCs/>
          <w:color w:val="000000"/>
          <w:sz w:val="24"/>
          <w:lang w:val="ro-RO" w:eastAsia="ro-RO"/>
        </w:rPr>
        <w:t>Numar de locuitori si dinamica pe ultimii 3 ani ( 2019-2020 -2021 );</w:t>
      </w:r>
      <w:r w:rsidRPr="008C5887">
        <w:rPr>
          <w:rFonts w:ascii="Times New Roman" w:eastAsiaTheme="minorEastAsia" w:hAnsi="Times New Roman" w:cs="Times New Roman"/>
          <w:b/>
          <w:i/>
          <w:iCs/>
          <w:color w:val="000000"/>
          <w:lang w:val="ro-RO" w:eastAsia="ro-RO"/>
        </w:rPr>
        <w:br/>
      </w:r>
      <w:r w:rsidRPr="008C5887">
        <w:rPr>
          <w:rFonts w:ascii="Times New Roman" w:eastAsiaTheme="minorEastAsia" w:hAnsi="Times New Roman" w:cs="Times New Roman"/>
          <w:b/>
          <w:i/>
          <w:iCs/>
          <w:color w:val="000000"/>
          <w:sz w:val="24"/>
          <w:lang w:val="ro-RO" w:eastAsia="ro-RO"/>
        </w:rPr>
        <w:t>Numar de agenti economici pe cap de locuitor;</w:t>
      </w:r>
      <w:r w:rsidRPr="008C5887">
        <w:rPr>
          <w:rFonts w:ascii="Times New Roman" w:eastAsiaTheme="minorEastAsia" w:hAnsi="Times New Roman" w:cs="Times New Roman"/>
          <w:b/>
          <w:i/>
          <w:iCs/>
          <w:color w:val="000000"/>
          <w:lang w:val="ro-RO" w:eastAsia="ro-RO"/>
        </w:rPr>
        <w:br/>
      </w:r>
      <w:r w:rsidRPr="008C5887">
        <w:rPr>
          <w:rFonts w:ascii="Times New Roman" w:eastAsiaTheme="minorEastAsia" w:hAnsi="Times New Roman" w:cs="Times New Roman"/>
          <w:b/>
          <w:i/>
          <w:iCs/>
          <w:color w:val="000000"/>
          <w:sz w:val="24"/>
          <w:lang w:val="ro-RO" w:eastAsia="ro-RO"/>
        </w:rPr>
        <w:t>Veniturile bugetului local pentru anul 2021 pe cap de locuitor;</w:t>
      </w:r>
      <w:r w:rsidRPr="008C5887">
        <w:rPr>
          <w:rFonts w:ascii="Times New Roman" w:eastAsiaTheme="minorEastAsia" w:hAnsi="Times New Roman" w:cs="Times New Roman"/>
          <w:b/>
          <w:i/>
          <w:iCs/>
          <w:color w:val="000000"/>
          <w:lang w:val="ro-RO" w:eastAsia="ro-RO"/>
        </w:rPr>
        <w:br/>
      </w:r>
      <w:r w:rsidRPr="008C5887">
        <w:rPr>
          <w:rFonts w:ascii="Times New Roman" w:eastAsiaTheme="minorEastAsia" w:hAnsi="Times New Roman" w:cs="Times New Roman"/>
          <w:b/>
          <w:i/>
          <w:iCs/>
          <w:color w:val="000000"/>
          <w:sz w:val="24"/>
          <w:lang w:val="ro-RO" w:eastAsia="ro-RO"/>
        </w:rPr>
        <w:t>Veniturile proprii pe anul 2021 pe cap de locuitor;</w:t>
      </w:r>
      <w:r w:rsidRPr="008C5887">
        <w:rPr>
          <w:rFonts w:ascii="Times New Roman" w:eastAsiaTheme="minorEastAsia" w:hAnsi="Times New Roman" w:cs="Times New Roman"/>
          <w:b/>
          <w:i/>
          <w:iCs/>
          <w:color w:val="000000"/>
          <w:lang w:val="ro-RO" w:eastAsia="ro-RO"/>
        </w:rPr>
        <w:br/>
      </w:r>
      <w:r w:rsidRPr="008C5887">
        <w:rPr>
          <w:rFonts w:ascii="Times New Roman" w:eastAsiaTheme="minorEastAsia" w:hAnsi="Times New Roman" w:cs="Times New Roman"/>
          <w:b/>
          <w:i/>
          <w:iCs/>
          <w:color w:val="000000"/>
          <w:sz w:val="24"/>
          <w:lang w:val="ro-RO" w:eastAsia="ro-RO"/>
        </w:rPr>
        <w:t>Starea actuală a infrastructurii</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Dacă e să analizăm  cadrul legislativ care atribuie competenţe autorităţilor publice</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 xml:space="preserve">locale , observăm, că majoritatea actelor normative şi legislative relevante nu fac delimitare clară între  autorităţile publice locale de diferite nivele şi de aici nu se respectă şi prevederile Legii  privind descentralizarea administrativă care stabileşte domeniile proprii de activitate ale APL  de nivelul I şi II. </w:t>
      </w:r>
    </w:p>
    <w:p w:rsidR="008C5887" w:rsidRPr="008C5887" w:rsidRDefault="008C5887" w:rsidP="008C5887">
      <w:pPr>
        <w:spacing w:after="0"/>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În acest sens sunt identificate o multitudine de acte legislative şi Hotărâri de  Guvern care stabilesc competenţe APL fără ca acestea să fie racordate cu prevederile Legii privind descentralizarea administrativă .</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Administraţia publică centrală, prin intermediul recomandărilor privind organigramele tip şi</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lastRenderedPageBreak/>
        <w:t>grilei de salarizare, influenţează APL şi le lezează din drepturile autonome la administrarea</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publică de interes local .</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Lipsa unui sistem de remunerare unitară, motivantă şi transparentă, corelată cu lipsa unor</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politici eficiente de resurse umane, ce a dus la creşterea gradului de demotivare a</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funcţionarilor publici şi, ca o consecinţă - fluctuaţii mari de personal şi stagnarea şi / sau</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reducerea performanţelor profesionale. Și aici este de menționat, că APL Grozești stă mai bine doar la capitolul ce atestă lipsa fluctuației de cadre.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Procesele implicării cetăţenilor în activitatea APL Grozești  prin diferite forme, cum ar fi: referendumul local, dezbaterile publice, mesele rotunde, sondajele de opinii sunt în stare incipientă şi afectate de formalizm . </w:t>
      </w:r>
    </w:p>
    <w:p w:rsidR="008C5887" w:rsidRPr="008C5887" w:rsidRDefault="008C5887" w:rsidP="008C5887">
      <w:pPr>
        <w:spacing w:after="0"/>
        <w:jc w:val="center"/>
        <w:rPr>
          <w:rFonts w:ascii="Times New Roman" w:eastAsiaTheme="minorEastAsia" w:hAnsi="Times New Roman" w:cs="Times New Roman"/>
          <w:b/>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Dar despre acest aspect  consiliul a fost informat prin </w:t>
      </w:r>
      <w:r w:rsidRPr="008C5887">
        <w:rPr>
          <w:rFonts w:ascii="Times New Roman" w:eastAsiaTheme="minorEastAsia" w:hAnsi="Times New Roman" w:cs="Times New Roman"/>
          <w:b/>
          <w:sz w:val="24"/>
          <w:szCs w:val="24"/>
          <w:lang w:val="ro-RO" w:eastAsia="ro-RO"/>
        </w:rPr>
        <w:t>Raportul pentru anul 2021 privind transparenţa în procesul decizional desfăşurat în autorităţile administraţiei publice ale  s. Grozești și care a fost aprobat prin Decizia nr. 6 / 9 din 06. 12. 2021 .</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Analiza capacităţilor financiare a s. Grozești a scos în evidenţă faptul că  suntem, ca majoritatea satelor ,  o localitate  foarte săracă .</w:t>
      </w:r>
    </w:p>
    <w:p w:rsidR="008C5887" w:rsidRPr="008C5887" w:rsidRDefault="008C5887" w:rsidP="008C5887">
      <w:pPr>
        <w:spacing w:after="0"/>
        <w:jc w:val="center"/>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Populația este în descreștere continuă :</w:t>
      </w:r>
    </w:p>
    <w:tbl>
      <w:tblPr>
        <w:tblStyle w:val="a5"/>
        <w:tblW w:w="0" w:type="auto"/>
        <w:tblLook w:val="04A0" w:firstRow="1" w:lastRow="0" w:firstColumn="1" w:lastColumn="0" w:noHBand="0" w:noVBand="1"/>
      </w:tblPr>
      <w:tblGrid>
        <w:gridCol w:w="2943"/>
        <w:gridCol w:w="1985"/>
        <w:gridCol w:w="2126"/>
        <w:gridCol w:w="2234"/>
      </w:tblGrid>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Indicatori</w:t>
            </w:r>
          </w:p>
        </w:tc>
        <w:tc>
          <w:tcPr>
            <w:tcW w:w="1985"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2019</w:t>
            </w:r>
          </w:p>
        </w:tc>
        <w:tc>
          <w:tcPr>
            <w:tcW w:w="2126"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2020</w:t>
            </w:r>
          </w:p>
        </w:tc>
        <w:tc>
          <w:tcPr>
            <w:tcW w:w="2234"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2021</w:t>
            </w:r>
          </w:p>
          <w:p w:rsidR="008C5887" w:rsidRPr="008C5887" w:rsidRDefault="008C5887" w:rsidP="008C5887">
            <w:pPr>
              <w:jc w:val="center"/>
              <w:rPr>
                <w:rFonts w:ascii="Times New Roman" w:hAnsi="Times New Roman" w:cs="Times New Roman"/>
                <w:b/>
                <w:color w:val="000000"/>
                <w:sz w:val="24"/>
                <w:szCs w:val="24"/>
              </w:rPr>
            </w:pP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Nr. populației</w:t>
            </w:r>
          </w:p>
        </w:tc>
        <w:tc>
          <w:tcPr>
            <w:tcW w:w="1985"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2098</w:t>
            </w:r>
          </w:p>
        </w:tc>
        <w:tc>
          <w:tcPr>
            <w:tcW w:w="2126"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2089</w:t>
            </w:r>
          </w:p>
        </w:tc>
        <w:tc>
          <w:tcPr>
            <w:tcW w:w="2234" w:type="dxa"/>
          </w:tcPr>
          <w:p w:rsidR="008C5887" w:rsidRPr="008C5887" w:rsidRDefault="008C5887" w:rsidP="008C5887">
            <w:pPr>
              <w:jc w:val="cente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1980</w:t>
            </w: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Plecați</w:t>
            </w:r>
          </w:p>
        </w:tc>
        <w:tc>
          <w:tcPr>
            <w:tcW w:w="1985" w:type="dxa"/>
          </w:tcPr>
          <w:p w:rsidR="008C5887" w:rsidRPr="008C5887" w:rsidRDefault="008C5887" w:rsidP="008C5887">
            <w:pPr>
              <w:jc w:val="cente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250</w:t>
            </w:r>
          </w:p>
        </w:tc>
        <w:tc>
          <w:tcPr>
            <w:tcW w:w="2126" w:type="dxa"/>
          </w:tcPr>
          <w:p w:rsidR="008C5887" w:rsidRPr="008C5887" w:rsidRDefault="008C5887" w:rsidP="008C5887">
            <w:pPr>
              <w:jc w:val="cente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360</w:t>
            </w:r>
          </w:p>
        </w:tc>
        <w:tc>
          <w:tcPr>
            <w:tcW w:w="2234" w:type="dxa"/>
          </w:tcPr>
          <w:p w:rsidR="008C5887" w:rsidRPr="008C5887" w:rsidRDefault="008C5887" w:rsidP="008C5887">
            <w:pPr>
              <w:jc w:val="cente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400</w:t>
            </w: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Născuți</w:t>
            </w:r>
          </w:p>
        </w:tc>
        <w:tc>
          <w:tcPr>
            <w:tcW w:w="1985"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20</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  16</w:t>
            </w:r>
          </w:p>
        </w:tc>
        <w:tc>
          <w:tcPr>
            <w:tcW w:w="2126"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17</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  11</w:t>
            </w:r>
          </w:p>
        </w:tc>
        <w:tc>
          <w:tcPr>
            <w:tcW w:w="2234"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13</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11</w:t>
            </w: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Căsătorii</w:t>
            </w:r>
          </w:p>
        </w:tc>
        <w:tc>
          <w:tcPr>
            <w:tcW w:w="1985"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11</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 - 4</w:t>
            </w:r>
          </w:p>
        </w:tc>
        <w:tc>
          <w:tcPr>
            <w:tcW w:w="2126"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6</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 - 3</w:t>
            </w:r>
          </w:p>
        </w:tc>
        <w:tc>
          <w:tcPr>
            <w:tcW w:w="2234"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6</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Prezenți în localitate - 2</w:t>
            </w:r>
          </w:p>
          <w:p w:rsidR="008C5887" w:rsidRPr="008C5887" w:rsidRDefault="008C5887" w:rsidP="008C5887">
            <w:pPr>
              <w:jc w:val="center"/>
              <w:rPr>
                <w:rFonts w:ascii="Times New Roman" w:hAnsi="Times New Roman" w:cs="Times New Roman"/>
                <w:b/>
                <w:color w:val="000000"/>
                <w:sz w:val="24"/>
                <w:szCs w:val="24"/>
              </w:rPr>
            </w:pP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Decedați</w:t>
            </w:r>
          </w:p>
        </w:tc>
        <w:tc>
          <w:tcPr>
            <w:tcW w:w="1985"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29</w:t>
            </w:r>
          </w:p>
        </w:tc>
        <w:tc>
          <w:tcPr>
            <w:tcW w:w="2126"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45</w:t>
            </w:r>
          </w:p>
        </w:tc>
        <w:tc>
          <w:tcPr>
            <w:tcW w:w="2234"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27</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 xml:space="preserve">Din ei : </w:t>
            </w: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Copil decedat - 1</w:t>
            </w:r>
          </w:p>
          <w:p w:rsidR="008C5887" w:rsidRPr="008C5887" w:rsidRDefault="008C5887" w:rsidP="008C5887">
            <w:pPr>
              <w:jc w:val="center"/>
              <w:rPr>
                <w:rFonts w:ascii="Times New Roman" w:hAnsi="Times New Roman" w:cs="Times New Roman"/>
                <w:b/>
                <w:color w:val="000000"/>
                <w:sz w:val="24"/>
                <w:szCs w:val="24"/>
              </w:rPr>
            </w:pPr>
          </w:p>
        </w:tc>
      </w:tr>
      <w:tr w:rsidR="008C5887" w:rsidRPr="008C5887" w:rsidTr="000E6A4D">
        <w:tc>
          <w:tcPr>
            <w:tcW w:w="2943" w:type="dxa"/>
          </w:tcPr>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Volumul mediu al veniturilor bugetului  local pe cap de locuitor</w:t>
            </w:r>
          </w:p>
        </w:tc>
        <w:tc>
          <w:tcPr>
            <w:tcW w:w="1985"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2359, 52 lei</w:t>
            </w:r>
          </w:p>
        </w:tc>
        <w:tc>
          <w:tcPr>
            <w:tcW w:w="2126"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1683, 13 lei</w:t>
            </w:r>
          </w:p>
        </w:tc>
        <w:tc>
          <w:tcPr>
            <w:tcW w:w="2234"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1803,50 lei</w:t>
            </w:r>
          </w:p>
        </w:tc>
      </w:tr>
      <w:tr w:rsidR="008C5887" w:rsidRPr="008C5887" w:rsidTr="000E6A4D">
        <w:tc>
          <w:tcPr>
            <w:tcW w:w="2943" w:type="dxa"/>
          </w:tcPr>
          <w:p w:rsidR="008C5887" w:rsidRPr="008C5887" w:rsidRDefault="008C5887" w:rsidP="008C5887">
            <w:pP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Volumul mediu al veniturilor proprii a  bugetului  local pe cap de locuitor</w:t>
            </w:r>
          </w:p>
        </w:tc>
        <w:tc>
          <w:tcPr>
            <w:tcW w:w="1985"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375, 17 lei</w:t>
            </w:r>
          </w:p>
        </w:tc>
        <w:tc>
          <w:tcPr>
            <w:tcW w:w="2126"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358,62 lei</w:t>
            </w:r>
          </w:p>
        </w:tc>
        <w:tc>
          <w:tcPr>
            <w:tcW w:w="2234" w:type="dxa"/>
          </w:tcPr>
          <w:p w:rsidR="008C5887" w:rsidRPr="008C5887" w:rsidRDefault="008C5887" w:rsidP="008C5887">
            <w:pPr>
              <w:jc w:val="center"/>
              <w:rPr>
                <w:rFonts w:ascii="Times New Roman" w:hAnsi="Times New Roman" w:cs="Times New Roman"/>
                <w:b/>
                <w:color w:val="000000"/>
                <w:sz w:val="24"/>
                <w:szCs w:val="24"/>
              </w:rPr>
            </w:pPr>
          </w:p>
          <w:p w:rsidR="008C5887" w:rsidRPr="008C5887" w:rsidRDefault="008C5887" w:rsidP="008C5887">
            <w:pPr>
              <w:jc w:val="center"/>
              <w:rPr>
                <w:rFonts w:ascii="Times New Roman" w:hAnsi="Times New Roman" w:cs="Times New Roman"/>
                <w:b/>
                <w:color w:val="000000"/>
                <w:sz w:val="24"/>
                <w:szCs w:val="24"/>
              </w:rPr>
            </w:pPr>
            <w:r w:rsidRPr="008C5887">
              <w:rPr>
                <w:rFonts w:ascii="Times New Roman" w:hAnsi="Times New Roman" w:cs="Times New Roman"/>
                <w:b/>
                <w:color w:val="000000"/>
                <w:sz w:val="24"/>
                <w:szCs w:val="24"/>
              </w:rPr>
              <w:t>77, 39 lei</w:t>
            </w:r>
          </w:p>
        </w:tc>
      </w:tr>
    </w:tbl>
    <w:p w:rsidR="008C5887" w:rsidRPr="008C5887" w:rsidRDefault="008C5887" w:rsidP="008C5887">
      <w:pPr>
        <w:spacing w:after="0"/>
        <w:jc w:val="center"/>
        <w:rPr>
          <w:rFonts w:ascii="Times New Roman" w:eastAsiaTheme="minorEastAsia" w:hAnsi="Times New Roman" w:cs="Times New Roman"/>
          <w:b/>
          <w:color w:val="000000"/>
          <w:sz w:val="24"/>
          <w:szCs w:val="24"/>
          <w:lang w:val="ro-RO" w:eastAsia="ro-RO"/>
        </w:rPr>
      </w:pPr>
    </w:p>
    <w:p w:rsidR="008C5887" w:rsidRPr="008C5887" w:rsidRDefault="008C5887" w:rsidP="008C5887">
      <w:pPr>
        <w:spacing w:after="0"/>
        <w:jc w:val="center"/>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w:t>
      </w:r>
    </w:p>
    <w:p w:rsidR="008C5887" w:rsidRPr="008C5887" w:rsidRDefault="008C5887" w:rsidP="008C5887">
      <w:pPr>
        <w:spacing w:after="0"/>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b/>
          <w:color w:val="000000"/>
          <w:sz w:val="24"/>
          <w:szCs w:val="24"/>
          <w:lang w:val="ro-RO" w:eastAsia="ro-RO"/>
        </w:rPr>
        <w:t xml:space="preserve"> Raportarea veniturilor proprii pe cap de locuitor  la nivel de țară este de 10 ori mai mică în localităţile rurale şi aproximativ de două ori mai mică în localităţile urbane. </w:t>
      </w:r>
    </w:p>
    <w:p w:rsidR="008C5887" w:rsidRPr="008C5887" w:rsidRDefault="008C5887" w:rsidP="008C5887">
      <w:pPr>
        <w:spacing w:after="0"/>
        <w:rPr>
          <w:rFonts w:ascii="Times New Roman" w:eastAsiaTheme="minorEastAsia" w:hAnsi="Times New Roman" w:cs="Times New Roman"/>
          <w:b/>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Acest fapt atestă şi existenţa unui potenţial foarte slab de dezvoltare a satului .</w:t>
      </w:r>
      <w:r w:rsidRPr="008C5887">
        <w:rPr>
          <w:rFonts w:eastAsiaTheme="minorEastAsia"/>
          <w:color w:val="000000"/>
          <w:lang w:val="ro-RO" w:eastAsia="ro-RO"/>
        </w:rPr>
        <w:br/>
      </w:r>
      <w:r w:rsidRPr="008C5887">
        <w:rPr>
          <w:rFonts w:ascii="Times New Roman" w:eastAsiaTheme="minorEastAsia" w:hAnsi="Times New Roman" w:cs="Times New Roman"/>
          <w:b/>
          <w:color w:val="000000"/>
          <w:sz w:val="24"/>
          <w:szCs w:val="24"/>
          <w:lang w:val="ro-RO" w:eastAsia="ro-RO"/>
        </w:rPr>
        <w:t>Structura economiei este slab dezvoltată, predominată de întreprinderile comerciale cu o pondere de 6 întreprinderi la 1000 de locuitori.</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lastRenderedPageBreak/>
        <w:t>Evaluarea stării infrastructurii fizice a satului Grozești a relevat constatarea faptului că obiectele de infrastructură: drumurile, sistemul şi canalizare, de depozitarea a</w:t>
      </w:r>
      <w:r w:rsidRPr="008C5887">
        <w:rPr>
          <w:rFonts w:eastAsiaTheme="minorEastAsia"/>
          <w:lang w:val="ro-RO" w:eastAsia="ro-RO"/>
        </w:rPr>
        <w:br/>
      </w:r>
      <w:r w:rsidRPr="008C5887">
        <w:rPr>
          <w:rFonts w:ascii="Times New Roman" w:eastAsiaTheme="minorEastAsia" w:hAnsi="Times New Roman" w:cs="Times New Roman"/>
          <w:color w:val="000000"/>
          <w:sz w:val="24"/>
          <w:szCs w:val="24"/>
          <w:lang w:val="ro-RO" w:eastAsia="ro-RO"/>
        </w:rPr>
        <w:t>gunoiului / deşeurilor , gazificare, iluminat stradal  etc  . este considerată, obiectiv, ca fiind</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 foarte săracă, incompletă  sau inexistentă  ” şi e percepută ca având nevoie stringentă de intervenţii semnificative.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Un pic mai bine stăm la capitolul  apeduct și irigare, care, de altfel, nu este valorificat de către cetățeni la potențialul său și nu aduce o plus- valoare la bunăstarea locuitorilor.</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Astfel, ca și toate localitățile rurale, cu foarte mici excepții, s. Grozești este  plasat într-o dependenţă majoră de transferurile alocate de la autoritatea centrală. </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Ponderea veniturilor proprii în bugetul  local nu  depăşeşte </w:t>
      </w:r>
      <w:r w:rsidRPr="008C5887">
        <w:rPr>
          <w:rFonts w:ascii="Times New Roman" w:eastAsiaTheme="minorEastAsia" w:hAnsi="Times New Roman" w:cs="Times New Roman"/>
          <w:color w:val="000000" w:themeColor="text1"/>
          <w:sz w:val="24"/>
          <w:szCs w:val="24"/>
          <w:lang w:val="ro-RO" w:eastAsia="ro-RO"/>
        </w:rPr>
        <w:t>20%,</w:t>
      </w:r>
      <w:r w:rsidRPr="008C5887">
        <w:rPr>
          <w:rFonts w:ascii="Times New Roman" w:eastAsiaTheme="minorEastAsia" w:hAnsi="Times New Roman" w:cs="Times New Roman"/>
          <w:color w:val="000000"/>
          <w:sz w:val="24"/>
          <w:szCs w:val="24"/>
          <w:lang w:val="ro-RO" w:eastAsia="ro-RO"/>
        </w:rPr>
        <w:t xml:space="preserve"> ceea ce face ca autorităţile APL să fie dependente de autorităţile  publice centrale.</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Rezultatul evaluării capacităţii administrative sub aspect financiar  atestă că nu dispunem de capacitate administrativă.</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Alocarea unor noi responsabilităţi şi competenţe către autorităţile administraţiei publice</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locale, inclusiv financiare ar contribui la creşterea capacităţii administrative. În acest proces</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va fi necesară consolidarea capacităţii autorităţilor publice locale în ceea ce priveşte cadrul</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instituţional, instrumentele şi mecanismele de colectare a impozitelor şi taxelor. Dar, dacă puterea centrală va stărui pe plafonarea taxelor, nu poate fi vorva de schimbare a situației în bine.</w:t>
      </w:r>
    </w:p>
    <w:p w:rsidR="008C5887" w:rsidRPr="008C5887" w:rsidRDefault="008C5887" w:rsidP="008C5887">
      <w:pPr>
        <w:spacing w:after="0"/>
        <w:rPr>
          <w:rFonts w:ascii="Times New Roman" w:eastAsiaTheme="minorEastAsia" w:hAnsi="Times New Roman" w:cs="Times New Roman"/>
          <w:color w:val="000000"/>
          <w:sz w:val="24"/>
          <w:lang w:val="ro-RO" w:eastAsia="ro-RO"/>
        </w:rPr>
      </w:pPr>
      <w:r w:rsidRPr="008C5887">
        <w:rPr>
          <w:rFonts w:ascii="Times New Roman" w:eastAsiaTheme="minorEastAsia" w:hAnsi="Times New Roman" w:cs="Times New Roman"/>
          <w:b/>
          <w:bCs/>
          <w:color w:val="000000"/>
          <w:sz w:val="24"/>
          <w:lang w:val="ro-RO" w:eastAsia="ro-RO"/>
        </w:rPr>
        <w:t xml:space="preserve">Concluzia principală. </w:t>
      </w:r>
      <w:r w:rsidRPr="008C5887">
        <w:rPr>
          <w:rFonts w:ascii="Times New Roman" w:eastAsiaTheme="minorEastAsia" w:hAnsi="Times New Roman" w:cs="Times New Roman"/>
          <w:color w:val="000000"/>
          <w:sz w:val="24"/>
          <w:lang w:val="ro-RO" w:eastAsia="ro-RO"/>
        </w:rPr>
        <w:t xml:space="preserve">Satul Grozești  posedă capacităţi financiare în general limitate, suferă de o subfinanţare cronică, de lipsa marcată a resurselor materiale şi umane specializate în domenii de mare importanţă şi practică, de aceea, o putem caracteriza ca fiind, într-o măsură covîrşitoare, de </w:t>
      </w:r>
      <w:r w:rsidRPr="008C5887">
        <w:rPr>
          <w:rFonts w:ascii="Times New Roman" w:eastAsiaTheme="minorEastAsia" w:hAnsi="Times New Roman" w:cs="Times New Roman"/>
          <w:color w:val="000000" w:themeColor="text1"/>
          <w:sz w:val="24"/>
          <w:lang w:val="ro-RO" w:eastAsia="ro-RO"/>
        </w:rPr>
        <w:t>subzistenţă autarhică,</w:t>
      </w:r>
      <w:r w:rsidRPr="008C5887">
        <w:rPr>
          <w:rFonts w:ascii="Times New Roman" w:eastAsiaTheme="minorEastAsia" w:hAnsi="Times New Roman" w:cs="Times New Roman"/>
          <w:color w:val="000000"/>
          <w:sz w:val="24"/>
          <w:lang w:val="ro-RO" w:eastAsia="ro-RO"/>
        </w:rPr>
        <w:t xml:space="preserve"> aspecte care fac ca perspectiva asigurării unei autonomii locale autentice şi a descentralizării  conexe să pară destul de îndepărtată.</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1 ) Capacităţile organizaţionale, funcţionale şi financiare actuale al autorităţilor publice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locale Grozești , în marea lor măsură, nu corespund competenţelor stabilite prin lege.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2) Competenţele autorităţilor au fost fixate pur formal, fără a se stabili de unde să ia acestea    resurse financiare pentru a le realiza. Astfel, autorităţile publice locale au fost abilitate cu     competenţe pentru realizarea cărora nu dispun de patrimoniu, resursele financiare  şi  /sau      umane necesare sau de capacităţi adecvate.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 xml:space="preserve">3) Un număr destul de impunător de acte normative prevăd competenţe pentru  autorităţile      publice locale în foarte multe domenii, natura juridică a cărora nu este clară:   sunt  ele     competenţe proprii sau delegate ale APL. </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Or, de acest fapt depinde modul de exercitare şi finanţare a lor.</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4) Legea nu prevede domeniile în care competenţele pot fi delegate de la centru spre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nivelul local lăsând această importantă prerogativă în seama autorităţilor publice </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centrale .</w:t>
      </w:r>
    </w:p>
    <w:p w:rsidR="008C5887" w:rsidRPr="008C5887" w:rsidRDefault="008C5887" w:rsidP="008C5887">
      <w:pPr>
        <w:spacing w:after="0"/>
        <w:rPr>
          <w:rFonts w:ascii="Times New Roman" w:eastAsiaTheme="minorEastAsia" w:hAnsi="Times New Roman" w:cs="Times New Roman"/>
          <w:b/>
          <w:color w:val="000000"/>
          <w:sz w:val="24"/>
          <w:lang w:val="ro-RO" w:eastAsia="ro-RO"/>
        </w:rPr>
      </w:pPr>
      <w:r w:rsidRPr="008C5887">
        <w:rPr>
          <w:rFonts w:ascii="Times New Roman" w:eastAsiaTheme="minorEastAsia" w:hAnsi="Times New Roman" w:cs="Times New Roman"/>
          <w:color w:val="000000"/>
          <w:sz w:val="24"/>
          <w:szCs w:val="24"/>
          <w:lang w:val="ro-RO" w:eastAsia="ro-RO"/>
        </w:rPr>
        <w:t xml:space="preserve">   </w:t>
      </w:r>
      <w:r w:rsidRPr="008C5887">
        <w:rPr>
          <w:rFonts w:ascii="Times New Roman" w:eastAsiaTheme="minorEastAsia" w:hAnsi="Times New Roman" w:cs="Times New Roman"/>
          <w:b/>
          <w:color w:val="000000"/>
          <w:sz w:val="24"/>
          <w:szCs w:val="24"/>
          <w:lang w:val="ro-RO" w:eastAsia="ro-RO"/>
        </w:rPr>
        <w:t xml:space="preserve">Drept exemplu : </w:t>
      </w:r>
    </w:p>
    <w:tbl>
      <w:tblPr>
        <w:tblStyle w:val="a5"/>
        <w:tblW w:w="0" w:type="auto"/>
        <w:tblLook w:val="04A0" w:firstRow="1" w:lastRow="0" w:firstColumn="1" w:lastColumn="0" w:noHBand="0" w:noVBand="1"/>
      </w:tblPr>
      <w:tblGrid>
        <w:gridCol w:w="4361"/>
        <w:gridCol w:w="850"/>
        <w:gridCol w:w="837"/>
        <w:gridCol w:w="723"/>
        <w:gridCol w:w="803"/>
        <w:gridCol w:w="898"/>
        <w:gridCol w:w="816"/>
      </w:tblGrid>
      <w:tr w:rsidR="008C5887" w:rsidRPr="008C5887" w:rsidTr="000E6A4D">
        <w:trPr>
          <w:trHeight w:val="270"/>
        </w:trPr>
        <w:tc>
          <w:tcPr>
            <w:tcW w:w="4361" w:type="dxa"/>
            <w:vMerge w:val="restart"/>
          </w:tcPr>
          <w:p w:rsidR="008C5887" w:rsidRPr="008C5887" w:rsidRDefault="008C5887" w:rsidP="008C5887">
            <w:pPr>
              <w:rPr>
                <w:rFonts w:ascii="Times New Roman" w:hAnsi="Times New Roman" w:cs="Times New Roman"/>
                <w:b/>
                <w:sz w:val="24"/>
                <w:szCs w:val="24"/>
              </w:rPr>
            </w:pPr>
          </w:p>
        </w:tc>
        <w:tc>
          <w:tcPr>
            <w:tcW w:w="1687" w:type="dxa"/>
            <w:gridSpan w:val="2"/>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 xml:space="preserve">Raion </w:t>
            </w:r>
          </w:p>
        </w:tc>
        <w:tc>
          <w:tcPr>
            <w:tcW w:w="1526" w:type="dxa"/>
            <w:gridSpan w:val="2"/>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 xml:space="preserve">Oraș </w:t>
            </w:r>
          </w:p>
        </w:tc>
        <w:tc>
          <w:tcPr>
            <w:tcW w:w="1714" w:type="dxa"/>
            <w:gridSpan w:val="2"/>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 xml:space="preserve"> Sat </w:t>
            </w:r>
          </w:p>
        </w:tc>
      </w:tr>
      <w:tr w:rsidR="008C5887" w:rsidRPr="008C5887" w:rsidTr="000E6A4D">
        <w:trPr>
          <w:trHeight w:val="285"/>
        </w:trPr>
        <w:tc>
          <w:tcPr>
            <w:tcW w:w="4361" w:type="dxa"/>
            <w:vMerge/>
          </w:tcPr>
          <w:p w:rsidR="008C5887" w:rsidRPr="008C5887" w:rsidRDefault="008C5887" w:rsidP="008C5887">
            <w:pPr>
              <w:rPr>
                <w:rFonts w:ascii="Times New Roman" w:hAnsi="Times New Roman" w:cs="Times New Roman"/>
                <w:b/>
                <w:bCs/>
                <w:i/>
                <w:iCs/>
                <w:color w:val="000000"/>
                <w:sz w:val="24"/>
                <w:szCs w:val="24"/>
              </w:rPr>
            </w:pPr>
          </w:p>
        </w:tc>
        <w:tc>
          <w:tcPr>
            <w:tcW w:w="850"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Nr.</w:t>
            </w:r>
          </w:p>
        </w:tc>
        <w:tc>
          <w:tcPr>
            <w:tcW w:w="837"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w:t>
            </w:r>
          </w:p>
        </w:tc>
        <w:tc>
          <w:tcPr>
            <w:tcW w:w="723"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Nr.</w:t>
            </w:r>
          </w:p>
        </w:tc>
        <w:tc>
          <w:tcPr>
            <w:tcW w:w="803"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w:t>
            </w:r>
          </w:p>
        </w:tc>
        <w:tc>
          <w:tcPr>
            <w:tcW w:w="898"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Nr.</w:t>
            </w:r>
          </w:p>
        </w:tc>
        <w:tc>
          <w:tcPr>
            <w:tcW w:w="816"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w:t>
            </w:r>
          </w:p>
        </w:tc>
      </w:tr>
      <w:tr w:rsidR="008C5887" w:rsidRPr="008C5887" w:rsidTr="000E6A4D">
        <w:trPr>
          <w:trHeight w:val="285"/>
        </w:trPr>
        <w:tc>
          <w:tcPr>
            <w:tcW w:w="4361" w:type="dxa"/>
          </w:tcPr>
          <w:p w:rsidR="008C5887" w:rsidRPr="008C5887" w:rsidRDefault="008C5887" w:rsidP="008C5887">
            <w:pPr>
              <w:rPr>
                <w:rFonts w:ascii="Times New Roman" w:hAnsi="Times New Roman" w:cs="Times New Roman"/>
                <w:b/>
                <w:bCs/>
                <w:iCs/>
                <w:color w:val="000000"/>
                <w:sz w:val="24"/>
                <w:szCs w:val="24"/>
              </w:rPr>
            </w:pPr>
            <w:r w:rsidRPr="008C5887">
              <w:rPr>
                <w:rFonts w:ascii="Times New Roman" w:hAnsi="Times New Roman" w:cs="Times New Roman"/>
                <w:b/>
                <w:bCs/>
                <w:iCs/>
                <w:color w:val="000000"/>
                <w:sz w:val="24"/>
                <w:szCs w:val="24"/>
              </w:rPr>
              <w:t xml:space="preserve">Îndeplinite de primar , conform Fișei de Post </w:t>
            </w:r>
          </w:p>
          <w:p w:rsidR="008C5887" w:rsidRPr="008C5887" w:rsidRDefault="008C5887" w:rsidP="008C5887">
            <w:pPr>
              <w:rPr>
                <w:rFonts w:ascii="Times New Roman" w:hAnsi="Times New Roman" w:cs="Times New Roman"/>
                <w:b/>
                <w:bCs/>
                <w:iCs/>
                <w:color w:val="000000"/>
                <w:sz w:val="24"/>
                <w:szCs w:val="24"/>
              </w:rPr>
            </w:pPr>
          </w:p>
        </w:tc>
        <w:tc>
          <w:tcPr>
            <w:tcW w:w="850"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16</w:t>
            </w:r>
          </w:p>
        </w:tc>
        <w:tc>
          <w:tcPr>
            <w:tcW w:w="837" w:type="dxa"/>
          </w:tcPr>
          <w:p w:rsidR="008C5887" w:rsidRPr="008C5887" w:rsidRDefault="008C5887" w:rsidP="008C5887">
            <w:pPr>
              <w:rPr>
                <w:rFonts w:ascii="Times New Roman" w:hAnsi="Times New Roman" w:cs="Times New Roman"/>
                <w:b/>
                <w:sz w:val="24"/>
                <w:szCs w:val="24"/>
              </w:rPr>
            </w:pPr>
          </w:p>
        </w:tc>
        <w:tc>
          <w:tcPr>
            <w:tcW w:w="723"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20,6</w:t>
            </w:r>
          </w:p>
        </w:tc>
        <w:tc>
          <w:tcPr>
            <w:tcW w:w="803" w:type="dxa"/>
          </w:tcPr>
          <w:p w:rsidR="008C5887" w:rsidRPr="008C5887" w:rsidRDefault="008C5887" w:rsidP="008C5887">
            <w:pPr>
              <w:rPr>
                <w:rFonts w:ascii="Times New Roman" w:hAnsi="Times New Roman" w:cs="Times New Roman"/>
                <w:b/>
                <w:sz w:val="24"/>
                <w:szCs w:val="24"/>
              </w:rPr>
            </w:pPr>
          </w:p>
        </w:tc>
        <w:tc>
          <w:tcPr>
            <w:tcW w:w="898"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22.39</w:t>
            </w:r>
          </w:p>
        </w:tc>
        <w:tc>
          <w:tcPr>
            <w:tcW w:w="816" w:type="dxa"/>
          </w:tcPr>
          <w:p w:rsidR="008C5887" w:rsidRPr="008C5887" w:rsidRDefault="008C5887" w:rsidP="008C5887">
            <w:pPr>
              <w:rPr>
                <w:rFonts w:ascii="Times New Roman" w:hAnsi="Times New Roman" w:cs="Times New Roman"/>
                <w:b/>
                <w:sz w:val="24"/>
                <w:szCs w:val="24"/>
              </w:rPr>
            </w:pPr>
          </w:p>
        </w:tc>
      </w:tr>
      <w:tr w:rsidR="008C5887" w:rsidRPr="008C5887" w:rsidTr="000E6A4D">
        <w:tc>
          <w:tcPr>
            <w:tcW w:w="4361"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bCs/>
                <w:iCs/>
                <w:color w:val="000000" w:themeColor="text1"/>
                <w:sz w:val="24"/>
                <w:szCs w:val="24"/>
              </w:rPr>
              <w:t>Atributii suplimentare</w:t>
            </w:r>
            <w:r w:rsidRPr="008C5887">
              <w:rPr>
                <w:rFonts w:ascii="Times New Roman" w:hAnsi="Times New Roman" w:cs="Times New Roman"/>
                <w:b/>
                <w:color w:val="000000" w:themeColor="text1"/>
                <w:sz w:val="24"/>
                <w:szCs w:val="24"/>
              </w:rPr>
              <w:t xml:space="preserve"> îndeplinite de </w:t>
            </w:r>
            <w:r w:rsidRPr="008C5887">
              <w:rPr>
                <w:rFonts w:ascii="Times New Roman" w:hAnsi="Times New Roman" w:cs="Times New Roman"/>
                <w:b/>
                <w:color w:val="000000" w:themeColor="text1"/>
                <w:sz w:val="24"/>
                <w:szCs w:val="24"/>
              </w:rPr>
              <w:lastRenderedPageBreak/>
              <w:t>funcționarii publici</w:t>
            </w:r>
          </w:p>
        </w:tc>
        <w:tc>
          <w:tcPr>
            <w:tcW w:w="850"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lastRenderedPageBreak/>
              <w:t>4</w:t>
            </w:r>
          </w:p>
        </w:tc>
        <w:tc>
          <w:tcPr>
            <w:tcW w:w="837"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44,40</w:t>
            </w:r>
          </w:p>
        </w:tc>
        <w:tc>
          <w:tcPr>
            <w:tcW w:w="723"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7</w:t>
            </w:r>
          </w:p>
        </w:tc>
        <w:tc>
          <w:tcPr>
            <w:tcW w:w="803"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70,00</w:t>
            </w:r>
          </w:p>
        </w:tc>
        <w:tc>
          <w:tcPr>
            <w:tcW w:w="898"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44</w:t>
            </w:r>
          </w:p>
        </w:tc>
        <w:tc>
          <w:tcPr>
            <w:tcW w:w="816"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80, 00</w:t>
            </w:r>
          </w:p>
        </w:tc>
      </w:tr>
      <w:tr w:rsidR="008C5887" w:rsidRPr="008C5887" w:rsidTr="000E6A4D">
        <w:tc>
          <w:tcPr>
            <w:tcW w:w="4361" w:type="dxa"/>
          </w:tcPr>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lastRenderedPageBreak/>
              <w:t>Nivelul de încredere a populației în APL</w:t>
            </w:r>
          </w:p>
          <w:p w:rsidR="008C5887" w:rsidRPr="008C5887" w:rsidRDefault="008C5887" w:rsidP="008C5887">
            <w:pPr>
              <w:rPr>
                <w:rFonts w:ascii="Times New Roman" w:hAnsi="Times New Roman" w:cs="Times New Roman"/>
                <w:b/>
                <w:sz w:val="24"/>
                <w:szCs w:val="24"/>
              </w:rPr>
            </w:pPr>
            <w:r w:rsidRPr="008C5887">
              <w:rPr>
                <w:rFonts w:ascii="Times New Roman" w:hAnsi="Times New Roman" w:cs="Times New Roman"/>
                <w:b/>
                <w:sz w:val="24"/>
                <w:szCs w:val="24"/>
              </w:rPr>
              <w:t>( 30 respondenți )</w:t>
            </w:r>
          </w:p>
        </w:tc>
        <w:tc>
          <w:tcPr>
            <w:tcW w:w="850"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10,5</w:t>
            </w:r>
          </w:p>
        </w:tc>
        <w:tc>
          <w:tcPr>
            <w:tcW w:w="837" w:type="dxa"/>
          </w:tcPr>
          <w:p w:rsidR="008C5887" w:rsidRPr="008C5887" w:rsidRDefault="008C5887" w:rsidP="008C5887">
            <w:pPr>
              <w:rPr>
                <w:rFonts w:ascii="Times New Roman" w:hAnsi="Times New Roman" w:cs="Times New Roman"/>
                <w:b/>
                <w:color w:val="000000" w:themeColor="text1"/>
                <w:sz w:val="24"/>
                <w:szCs w:val="24"/>
              </w:rPr>
            </w:pPr>
          </w:p>
        </w:tc>
        <w:tc>
          <w:tcPr>
            <w:tcW w:w="723"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13,6</w:t>
            </w:r>
          </w:p>
        </w:tc>
        <w:tc>
          <w:tcPr>
            <w:tcW w:w="803" w:type="dxa"/>
          </w:tcPr>
          <w:p w:rsidR="008C5887" w:rsidRPr="008C5887" w:rsidRDefault="008C5887" w:rsidP="008C5887">
            <w:pPr>
              <w:rPr>
                <w:rFonts w:ascii="Times New Roman" w:hAnsi="Times New Roman" w:cs="Times New Roman"/>
                <w:b/>
                <w:color w:val="000000" w:themeColor="text1"/>
                <w:sz w:val="24"/>
                <w:szCs w:val="24"/>
              </w:rPr>
            </w:pPr>
          </w:p>
        </w:tc>
        <w:tc>
          <w:tcPr>
            <w:tcW w:w="898" w:type="dxa"/>
          </w:tcPr>
          <w:p w:rsidR="008C5887" w:rsidRPr="008C5887" w:rsidRDefault="008C5887" w:rsidP="008C5887">
            <w:pPr>
              <w:rPr>
                <w:rFonts w:ascii="Times New Roman" w:hAnsi="Times New Roman" w:cs="Times New Roman"/>
                <w:b/>
                <w:color w:val="000000" w:themeColor="text1"/>
                <w:sz w:val="24"/>
                <w:szCs w:val="24"/>
              </w:rPr>
            </w:pPr>
            <w:r w:rsidRPr="008C5887">
              <w:rPr>
                <w:rFonts w:ascii="Times New Roman" w:hAnsi="Times New Roman" w:cs="Times New Roman"/>
                <w:b/>
                <w:color w:val="000000" w:themeColor="text1"/>
                <w:sz w:val="24"/>
                <w:szCs w:val="24"/>
              </w:rPr>
              <w:t>19,5</w:t>
            </w:r>
          </w:p>
        </w:tc>
        <w:tc>
          <w:tcPr>
            <w:tcW w:w="816" w:type="dxa"/>
          </w:tcPr>
          <w:p w:rsidR="008C5887" w:rsidRPr="008C5887" w:rsidRDefault="008C5887" w:rsidP="008C5887">
            <w:pPr>
              <w:rPr>
                <w:rFonts w:ascii="Times New Roman" w:hAnsi="Times New Roman" w:cs="Times New Roman"/>
                <w:b/>
                <w:sz w:val="24"/>
                <w:szCs w:val="24"/>
              </w:rPr>
            </w:pPr>
          </w:p>
        </w:tc>
      </w:tr>
    </w:tbl>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Astfel, competenţele autorităţilor de primul nivel de administrare au fost fixate pur formal, fără a se stabili izvorul resurselor financiare pentru a putea fi realizate. Astfel,</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autorităţile publice locale au fost abilitate cu competenţe pentru realizarea cărora nu dispun de</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patrimoniu, resursele financiare şi/sau umane necesare sau de capacităţi adecvate.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p>
    <w:p w:rsidR="008C5887" w:rsidRPr="008C5887" w:rsidRDefault="008C5887" w:rsidP="008C5887">
      <w:pPr>
        <w:spacing w:after="0"/>
        <w:rPr>
          <w:rFonts w:ascii="Times New Roman" w:eastAsiaTheme="minorEastAsia" w:hAnsi="Times New Roman" w:cs="Times New Roman"/>
          <w:color w:val="000000"/>
          <w:sz w:val="24"/>
          <w:lang w:val="ro-RO" w:eastAsia="ro-RO"/>
        </w:rPr>
      </w:pPr>
      <w:r w:rsidRPr="008C5887">
        <w:rPr>
          <w:rFonts w:ascii="Times New Roman" w:eastAsiaTheme="minorEastAsia" w:hAnsi="Times New Roman" w:cs="Times New Roman"/>
          <w:color w:val="000000"/>
          <w:sz w:val="24"/>
          <w:szCs w:val="24"/>
          <w:lang w:val="ro-RO" w:eastAsia="ro-RO"/>
        </w:rPr>
        <w:t xml:space="preserve">5. </w:t>
      </w:r>
      <w:r w:rsidRPr="008C5887">
        <w:rPr>
          <w:rFonts w:ascii="Times New Roman" w:eastAsiaTheme="minorEastAsia" w:hAnsi="Times New Roman" w:cs="Times New Roman"/>
          <w:color w:val="000000"/>
          <w:sz w:val="24"/>
          <w:lang w:val="ro-RO" w:eastAsia="ro-RO"/>
        </w:rPr>
        <w:t>Capacitatea de planificare strategică şi de atragere a investiţiilor este  diminuată de absenţa</w:t>
      </w:r>
    </w:p>
    <w:p w:rsidR="008C5887" w:rsidRPr="008C5887" w:rsidRDefault="008C5887" w:rsidP="008C5887">
      <w:pPr>
        <w:spacing w:after="0"/>
        <w:rPr>
          <w:rFonts w:ascii="Times New Roman" w:eastAsiaTheme="minorEastAsia" w:hAnsi="Times New Roman" w:cs="Times New Roman"/>
          <w:color w:val="000000"/>
          <w:sz w:val="24"/>
          <w:lang w:val="ro-RO" w:eastAsia="ro-RO"/>
        </w:rPr>
      </w:pPr>
      <w:r w:rsidRPr="008C5887">
        <w:rPr>
          <w:rFonts w:ascii="Times New Roman" w:eastAsiaTheme="minorEastAsia" w:hAnsi="Times New Roman" w:cs="Times New Roman"/>
          <w:color w:val="000000"/>
          <w:sz w:val="24"/>
          <w:lang w:val="ro-RO" w:eastAsia="ro-RO"/>
        </w:rPr>
        <w:t xml:space="preserve">     în  UAT a structurilor specializate şi a personalului calificat în aceste domenii, precum şi</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lang w:val="ro-RO" w:eastAsia="ro-RO"/>
        </w:rPr>
        <w:t xml:space="preserve">     de  pregătirea insuficientă a aleşilor locali și a persoanei cu demnitate publică.</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Pe lângă faptul că numărul statelor de personal este foarte limitat, autorităţile publice locale</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întâmpină mari dificultăţi şi la capitolul formarea profesională. Trebuie de recunoscut că</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multe din persoanele angajate în administraţia locală nu au o pregătire adecvată şi chiar nu dispun de studiile necesare pentru funcţiile date. Deşi piaţa forţei de muncă abundă cu</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specialişti în diferite domenii: drept, administraţie publică, economie (care pe lângă pregătirea</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de specialitate, cunosc limbile străine şi sunt pregătiţi în domeniul informaticii), aceşti</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specialişti nu sunt tentaţi a se angaja în autorităţile publice locale. În mediul rural există</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numeroase cazuri în care autorităţile locale nu dispun la unele funcţii importante de specialişti</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competenţi în domeniul dat.</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Pentru a motiva creşterea perfomanţelor profesionale ale funcţionarilor din APL, ar</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trebui ca acestora să li se asigure un sistem de salarizare decent şi posibilitatea realizării unei</w:t>
      </w:r>
      <w:r w:rsidRPr="008C5887">
        <w:rPr>
          <w:rFonts w:eastAsiaTheme="minorEastAsia"/>
          <w:color w:val="000000"/>
          <w:lang w:val="ro-RO" w:eastAsia="ro-RO"/>
        </w:rPr>
        <w:br/>
      </w:r>
      <w:r w:rsidRPr="008C5887">
        <w:rPr>
          <w:rFonts w:ascii="Times New Roman" w:eastAsiaTheme="minorEastAsia" w:hAnsi="Times New Roman" w:cs="Times New Roman"/>
          <w:color w:val="000000"/>
          <w:sz w:val="24"/>
          <w:szCs w:val="24"/>
          <w:lang w:val="ro-RO" w:eastAsia="ro-RO"/>
        </w:rPr>
        <w:t>cariere vizibile. Promovarea trebuie să se facă numai pe criterii de performanţă şi moralitate, fără implicarea simpatiilor politice.</w:t>
      </w:r>
    </w:p>
    <w:p w:rsidR="008C5887" w:rsidRPr="008C5887" w:rsidRDefault="008C5887" w:rsidP="008C5887">
      <w:pPr>
        <w:spacing w:after="0"/>
        <w:rPr>
          <w:rFonts w:ascii="Times New Roman" w:eastAsiaTheme="minorEastAsia" w:hAnsi="Times New Roman" w:cs="Times New Roman"/>
          <w:color w:val="000000"/>
          <w:sz w:val="24"/>
          <w:szCs w:val="24"/>
          <w:lang w:val="ro-RO" w:eastAsia="ro-RO"/>
        </w:rPr>
      </w:pPr>
    </w:p>
    <w:p w:rsidR="008C5887" w:rsidRPr="008C5887" w:rsidRDefault="008C5887" w:rsidP="008C5887">
      <w:pPr>
        <w:spacing w:after="0"/>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 xml:space="preserve">Astfel, în </w:t>
      </w:r>
      <w:r w:rsidRPr="008C5887">
        <w:rPr>
          <w:rFonts w:ascii="Times New Roman" w:eastAsiaTheme="minorEastAsia" w:hAnsi="Times New Roman" w:cs="Times New Roman"/>
          <w:b/>
          <w:color w:val="000000" w:themeColor="text1"/>
          <w:sz w:val="24"/>
          <w:szCs w:val="24"/>
          <w:lang w:val="ro-RO" w:eastAsia="ro-RO"/>
        </w:rPr>
        <w:t>Planul  de dezvoltare a</w:t>
      </w:r>
      <w:r w:rsidRPr="008C5887">
        <w:rPr>
          <w:rFonts w:ascii="Times New Roman" w:eastAsiaTheme="minorEastAsia" w:hAnsi="Times New Roman" w:cs="Times New Roman"/>
          <w:color w:val="000000" w:themeColor="text1"/>
          <w:sz w:val="24"/>
          <w:szCs w:val="24"/>
          <w:lang w:val="ro-RO" w:eastAsia="ro-RO"/>
        </w:rPr>
        <w:t xml:space="preserve"> </w:t>
      </w:r>
      <w:r w:rsidRPr="008C5887">
        <w:rPr>
          <w:rFonts w:ascii="Times New Roman" w:eastAsiaTheme="minorEastAsia" w:hAnsi="Times New Roman" w:cs="Times New Roman"/>
          <w:b/>
          <w:bCs/>
          <w:color w:val="000000" w:themeColor="text1"/>
          <w:sz w:val="24"/>
          <w:szCs w:val="24"/>
          <w:lang w:val="ro-RO" w:eastAsia="ro-RO"/>
        </w:rPr>
        <w:t>capacităţilor  administrative a autorităţilor APL Grozești  pentru perioada 2021- 2026 , r</w:t>
      </w:r>
      <w:r w:rsidRPr="008C5887">
        <w:rPr>
          <w:rFonts w:ascii="Times New Roman" w:eastAsiaTheme="minorEastAsia" w:hAnsi="Times New Roman" w:cs="Times New Roman"/>
          <w:color w:val="000000" w:themeColor="text1"/>
          <w:sz w:val="24"/>
          <w:szCs w:val="24"/>
          <w:lang w:val="ro-RO" w:eastAsia="ro-RO"/>
        </w:rPr>
        <w:t>eieşind din situaţia creată la moment şi ţinînd cont de aşteptările  ce le avem,   au fost definite mai multe obiective, în baza cărora a fost enunţată  viziunea.</w:t>
      </w:r>
    </w:p>
    <w:p w:rsidR="008C5887" w:rsidRPr="008C5887" w:rsidRDefault="008C5887" w:rsidP="008C5887">
      <w:pPr>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Astfel viziunea Primăriei satului Grozeşti  presupune , că :</w:t>
      </w:r>
    </w:p>
    <w:p w:rsidR="008C5887" w:rsidRPr="008C5887" w:rsidRDefault="008C5887" w:rsidP="008C5887">
      <w:pPr>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b/>
          <w:color w:val="000000" w:themeColor="text1"/>
          <w:sz w:val="24"/>
          <w:szCs w:val="24"/>
          <w:lang w:val="ro-RO" w:eastAsia="ro-RO"/>
        </w:rPr>
        <w:t>Primăria are personal angajat, instruit suficient şi  continuu, cu capacităţi dezvoltate pentru rezolvarea problemelor comunităţii prin implicare, capabil să valorifice eficient resursele locale şi  să atragă fonduri, promovează interesele cetăţenilor şi menţine relaţii bune de colaborare cu actorii interni şi externi pentru aplicarea principiilor democraţiei şi autonomiei locale.</w:t>
      </w:r>
    </w:p>
    <w:p w:rsidR="008C5887" w:rsidRPr="008C5887" w:rsidRDefault="008C5887" w:rsidP="008C5887">
      <w:pPr>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Viziunea are la bază intenţiile APL de a-şi spori continuu capacităţile administrative prin lansarea unui proces de planificare strategică la nivel instituţional., pe care astăzi î-l propune Consiliului local spre aprobare.</w:t>
      </w:r>
    </w:p>
    <w:p w:rsidR="008C5887" w:rsidRPr="008C5887" w:rsidRDefault="008C5887" w:rsidP="008C5887">
      <w:pPr>
        <w:jc w:val="both"/>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b/>
          <w:color w:val="000000" w:themeColor="text1"/>
          <w:sz w:val="24"/>
          <w:szCs w:val="24"/>
          <w:lang w:val="ro-RO" w:eastAsia="ro-RO"/>
        </w:rPr>
        <w:t xml:space="preserve">În procesul de implementare a Planului  de dezvoltare a </w:t>
      </w:r>
      <w:r w:rsidRPr="008C5887">
        <w:rPr>
          <w:rFonts w:ascii="Times New Roman" w:eastAsiaTheme="minorEastAsia" w:hAnsi="Times New Roman" w:cs="Times New Roman"/>
          <w:b/>
          <w:bCs/>
          <w:color w:val="000000" w:themeColor="text1"/>
          <w:sz w:val="24"/>
          <w:szCs w:val="24"/>
          <w:lang w:val="ro-RO" w:eastAsia="ro-RO"/>
        </w:rPr>
        <w:t xml:space="preserve">capacităţilor  administrative a autorităţilor APL Grozești  </w:t>
      </w:r>
      <w:r w:rsidRPr="008C5887">
        <w:rPr>
          <w:rFonts w:ascii="Times New Roman" w:eastAsiaTheme="minorEastAsia" w:hAnsi="Times New Roman" w:cs="Times New Roman"/>
          <w:b/>
          <w:color w:val="000000" w:themeColor="text1"/>
          <w:sz w:val="24"/>
          <w:szCs w:val="24"/>
          <w:lang w:val="ro-RO" w:eastAsia="ro-RO"/>
        </w:rPr>
        <w:t>s-au constatat urmatoarele carențe :</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Localitatea este cu o populaţie în descreştere.</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 xml:space="preserve">Primăria are o experienţă de atragere a resurselor prin proiecte, dar nu este suficient , din cauza unui număr redus de persoane instruite în managementul proiectelor şi atragerea </w:t>
      </w:r>
      <w:r w:rsidRPr="008C5887">
        <w:rPr>
          <w:rFonts w:ascii="Times New Roman" w:eastAsiaTheme="minorEastAsia" w:hAnsi="Times New Roman" w:cs="Times New Roman"/>
          <w:color w:val="000000" w:themeColor="text1"/>
          <w:sz w:val="24"/>
          <w:szCs w:val="24"/>
          <w:lang w:val="ro-RO" w:eastAsia="ro-RO"/>
        </w:rPr>
        <w:lastRenderedPageBreak/>
        <w:t>investiţiilor. Priorităţile sunt axate pe dezvoltarea infrastructurii fizice, dar şi pe atragerea  investiţiilor în sfera productivă.Nu există o listă a investiţiilor prioritare în comunitate.</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Primarul trebuie să - și  asume un număr important de responsabilităţi, fără a avea suficiente  cunoștințe , abilități , competenţe, timp şi resurse financiare. Acest fapt  afectează grav calitatea actului guvernării locale. APL trebuie să facă faţă unor provăcări majore în comunitate: dependenţa de agricultură a economiei locale, lipsa locurilor de muncă, care ar putea asigura un nivel decent de trai, populaţie afectată de migraţie, număr important de asistaţi care necesită un suport financiar substanţial.</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Primarul şi funcţionarii primăriei promovează majoritatea iniţiativelor în CL, pe fondul general de pasivitate a consilierilor locali.</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Există un sistem funcţional de control asupra îndeplinirii sarcinilor stabilite de  CL, doar că funcționarii publici fizic nu pot face față numărului tot mai mare de atribuții delegate, fără remunerarea corespunzătoare.</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Bugetul local este în mare măsură dependent de transferuri din exterior,veniturile locale sunt foarte mici, în dezbaterea bugetului comunitatea nu este implicată.</w:t>
      </w:r>
    </w:p>
    <w:p w:rsidR="008C5887" w:rsidRPr="008C5887" w:rsidRDefault="008C5887" w:rsidP="008C5887">
      <w:pPr>
        <w:numPr>
          <w:ilvl w:val="0"/>
          <w:numId w:val="30"/>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Lucrătorii primăriei sunt satisfăcuţi de politica de personal promovată în primărie, mai puțin, de sistemul de salarizare existent. Probleșa constă în numărul mic de funcționari raportat la numărul de sarcini care le revin.</w:t>
      </w:r>
    </w:p>
    <w:p w:rsidR="008C5887" w:rsidRPr="008C5887" w:rsidRDefault="008C5887" w:rsidP="008C5887">
      <w:pPr>
        <w:numPr>
          <w:ilvl w:val="0"/>
          <w:numId w:val="30"/>
        </w:numPr>
        <w:spacing w:after="0" w:line="240" w:lineRule="auto"/>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Un moment important este </w:t>
      </w:r>
      <w:r w:rsidRPr="008C5887">
        <w:rPr>
          <w:rFonts w:ascii="Times New Roman" w:eastAsiaTheme="minorEastAsia" w:hAnsi="Times New Roman" w:cs="Times New Roman"/>
          <w:b/>
          <w:i/>
          <w:iCs/>
          <w:color w:val="000000"/>
          <w:sz w:val="24"/>
          <w:szCs w:val="24"/>
          <w:lang w:val="ro-RO" w:eastAsia="ro-RO"/>
        </w:rPr>
        <w:t>principiul transparenţei</w:t>
      </w:r>
      <w:r w:rsidRPr="008C5887">
        <w:rPr>
          <w:rFonts w:ascii="Times New Roman" w:eastAsiaTheme="minorEastAsia" w:hAnsi="Times New Roman" w:cs="Times New Roman"/>
          <w:b/>
          <w:color w:val="000000"/>
          <w:sz w:val="24"/>
          <w:szCs w:val="24"/>
          <w:lang w:val="ro-RO" w:eastAsia="ro-RO"/>
        </w:rPr>
        <w:t>,</w:t>
      </w:r>
      <w:r w:rsidRPr="008C5887">
        <w:rPr>
          <w:rFonts w:ascii="Times New Roman" w:eastAsiaTheme="minorEastAsia" w:hAnsi="Times New Roman" w:cs="Times New Roman"/>
          <w:color w:val="000000"/>
          <w:sz w:val="24"/>
          <w:szCs w:val="24"/>
          <w:lang w:val="ro-RO" w:eastAsia="ro-RO"/>
        </w:rPr>
        <w:t xml:space="preserve"> care contribuie la consolidarea democraţiei şi la respectarea drepturilor fundamentale, aşa cum sunt definite în articolul 6 al Tratatului UE, în Cartea drepturilor Fundamentale ale Uniunii Europene ,</w:t>
      </w:r>
    </w:p>
    <w:p w:rsidR="008C5887" w:rsidRPr="008C5887" w:rsidRDefault="008C5887" w:rsidP="008C5887">
      <w:pPr>
        <w:spacing w:after="0" w:line="240" w:lineRule="auto"/>
        <w:contextualSpacing/>
        <w:rPr>
          <w:rFonts w:ascii="Times New Roman" w:eastAsiaTheme="minorEastAsia" w:hAnsi="Times New Roman"/>
          <w:sz w:val="24"/>
          <w:szCs w:val="24"/>
          <w:lang w:val="en-US"/>
        </w:rPr>
      </w:pPr>
      <w:r w:rsidRPr="008C5887">
        <w:rPr>
          <w:rFonts w:ascii="Times New Roman" w:eastAsiaTheme="minorEastAsia" w:hAnsi="Times New Roman"/>
          <w:sz w:val="24"/>
          <w:szCs w:val="24"/>
          <w:lang w:val="en-US"/>
        </w:rPr>
        <w:t xml:space="preserve">Legea </w:t>
      </w:r>
      <w:proofErr w:type="gramStart"/>
      <w:r w:rsidRPr="008C5887">
        <w:rPr>
          <w:rFonts w:ascii="Times New Roman" w:eastAsiaTheme="minorEastAsia" w:hAnsi="Times New Roman"/>
          <w:sz w:val="24"/>
          <w:szCs w:val="24"/>
          <w:lang w:val="en-US"/>
        </w:rPr>
        <w:t>RM  nr</w:t>
      </w:r>
      <w:proofErr w:type="gramEnd"/>
      <w:r w:rsidRPr="008C5887">
        <w:rPr>
          <w:rFonts w:ascii="Times New Roman" w:eastAsiaTheme="minorEastAsia" w:hAnsi="Times New Roman"/>
          <w:sz w:val="24"/>
          <w:szCs w:val="24"/>
          <w:lang w:val="en-US"/>
        </w:rPr>
        <w:t>. 239 din 13.11.2008 privind transparența în procesul decizional.</w:t>
      </w:r>
    </w:p>
    <w:p w:rsidR="008C5887" w:rsidRPr="008C5887" w:rsidRDefault="008C5887" w:rsidP="008C5887">
      <w:pPr>
        <w:spacing w:after="0" w:line="240" w:lineRule="auto"/>
        <w:contextualSpacing/>
        <w:rPr>
          <w:rFonts w:ascii="Times New Roman" w:eastAsiaTheme="minorEastAsia" w:hAnsi="Times New Roman" w:cs="Times New Roman"/>
          <w:b/>
          <w:color w:val="000000" w:themeColor="text1"/>
          <w:sz w:val="24"/>
          <w:szCs w:val="24"/>
          <w:lang w:val="en-US"/>
        </w:rPr>
      </w:pPr>
      <w:r w:rsidRPr="008C5887">
        <w:rPr>
          <w:rFonts w:ascii="Times New Roman" w:eastAsiaTheme="minorEastAsia" w:hAnsi="Times New Roman" w:cs="Times New Roman"/>
          <w:color w:val="000000"/>
          <w:sz w:val="24"/>
          <w:szCs w:val="24"/>
          <w:lang w:val="en-US"/>
        </w:rPr>
        <w:t xml:space="preserve">Aceasta ar asigura participarea cetăţenilor la procesul decizional şi asigurarea legitimităţii, eficacităţii şi </w:t>
      </w:r>
      <w:proofErr w:type="gramStart"/>
      <w:r w:rsidRPr="008C5887">
        <w:rPr>
          <w:rFonts w:ascii="Times New Roman" w:eastAsiaTheme="minorEastAsia" w:hAnsi="Times New Roman" w:cs="Times New Roman"/>
          <w:color w:val="000000"/>
          <w:sz w:val="24"/>
          <w:szCs w:val="24"/>
          <w:lang w:val="en-US"/>
        </w:rPr>
        <w:t>responsabilităţii  administraţiei</w:t>
      </w:r>
      <w:proofErr w:type="gramEnd"/>
      <w:r w:rsidRPr="008C5887">
        <w:rPr>
          <w:rFonts w:ascii="Times New Roman" w:eastAsiaTheme="minorEastAsia" w:hAnsi="Times New Roman" w:cs="Times New Roman"/>
          <w:color w:val="000000"/>
          <w:sz w:val="24"/>
          <w:szCs w:val="24"/>
          <w:lang w:val="en-US"/>
        </w:rPr>
        <w:t xml:space="preserve"> faţă de cetăţean. </w:t>
      </w:r>
    </w:p>
    <w:p w:rsidR="008C5887" w:rsidRPr="008C5887" w:rsidRDefault="008C5887" w:rsidP="008C5887">
      <w:pPr>
        <w:spacing w:after="0" w:line="240" w:lineRule="auto"/>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b/>
          <w:color w:val="000000"/>
          <w:sz w:val="24"/>
          <w:szCs w:val="24"/>
          <w:lang w:val="ro-RO" w:eastAsia="ro-RO"/>
        </w:rPr>
        <w:t>Până la urmă, aceasta şi este finalitatea conducerii, concepută în managementul  public:</w:t>
      </w:r>
      <w:r w:rsidRPr="008C5887">
        <w:rPr>
          <w:rFonts w:ascii="Times New Roman" w:eastAsiaTheme="minorEastAsia" w:hAnsi="Times New Roman" w:cs="Times New Roman"/>
          <w:color w:val="000000"/>
          <w:sz w:val="24"/>
          <w:szCs w:val="24"/>
          <w:lang w:val="ro-RO" w:eastAsia="ro-RO"/>
        </w:rPr>
        <w:t xml:space="preserve"> </w:t>
      </w:r>
      <w:r w:rsidRPr="008C5887">
        <w:rPr>
          <w:rFonts w:ascii="Times New Roman" w:eastAsiaTheme="minorEastAsia" w:hAnsi="Times New Roman" w:cs="Times New Roman"/>
          <w:b/>
          <w:color w:val="000000"/>
          <w:sz w:val="24"/>
          <w:szCs w:val="24"/>
          <w:lang w:val="ro-RO" w:eastAsia="ro-RO"/>
        </w:rPr>
        <w:t>realizarea obiectivelor sociale în timpul cel mai  scurt posibil şi cu eforturi minime .</w:t>
      </w:r>
    </w:p>
    <w:p w:rsidR="008C5887" w:rsidRPr="008C5887" w:rsidRDefault="008C5887" w:rsidP="008C5887">
      <w:pPr>
        <w:spacing w:after="0" w:line="240" w:lineRule="auto"/>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b/>
          <w:color w:val="000000" w:themeColor="text1"/>
          <w:sz w:val="24"/>
          <w:szCs w:val="24"/>
          <w:lang w:val="ro-RO" w:eastAsia="ro-RO"/>
        </w:rPr>
        <w:t xml:space="preserve"> </w:t>
      </w:r>
    </w:p>
    <w:p w:rsidR="008C5887" w:rsidRPr="008C5887" w:rsidRDefault="008C5887" w:rsidP="008C5887">
      <w:pPr>
        <w:spacing w:after="0" w:line="240" w:lineRule="auto"/>
        <w:rPr>
          <w:rFonts w:ascii="Times New Roman" w:eastAsiaTheme="minorEastAsia" w:hAnsi="Times New Roman" w:cs="Times New Roman"/>
          <w:b/>
          <w:color w:val="000000" w:themeColor="text1"/>
          <w:sz w:val="24"/>
          <w:szCs w:val="24"/>
          <w:lang w:val="ro-RO" w:eastAsia="ro-RO"/>
        </w:rPr>
      </w:pPr>
      <w:r w:rsidRPr="008C5887">
        <w:rPr>
          <w:rFonts w:ascii="Times New Roman" w:eastAsiaTheme="minorEastAsia" w:hAnsi="Times New Roman" w:cs="Times New Roman"/>
          <w:b/>
          <w:color w:val="000000" w:themeColor="text1"/>
          <w:sz w:val="24"/>
          <w:szCs w:val="24"/>
          <w:lang w:val="ro-RO" w:eastAsia="ro-RO"/>
        </w:rPr>
        <w:t xml:space="preserve">   În scopul eficientizării  implementării Planului în anul 2022   se propun  un şir de recomandări:</w:t>
      </w:r>
    </w:p>
    <w:p w:rsidR="008C5887" w:rsidRPr="008C5887" w:rsidRDefault="008C5887" w:rsidP="008C5887">
      <w:pPr>
        <w:numPr>
          <w:ilvl w:val="0"/>
          <w:numId w:val="31"/>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Utilizarea mai largă a diverselor procedee de management strategic ar conduce la utilizarea mai bună a resurselor comunităţii.</w:t>
      </w:r>
    </w:p>
    <w:p w:rsidR="008C5887" w:rsidRPr="008C5887" w:rsidRDefault="008C5887" w:rsidP="008C5887">
      <w:pPr>
        <w:numPr>
          <w:ilvl w:val="0"/>
          <w:numId w:val="31"/>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Promovarea parteneriatelor transfrontaliere se impun pentru un număr mare de necesităţi ale populaţiei în cadrul unor proiecte moldo-române.</w:t>
      </w:r>
    </w:p>
    <w:p w:rsidR="008C5887" w:rsidRPr="008C5887" w:rsidRDefault="008C5887" w:rsidP="008C5887">
      <w:pPr>
        <w:numPr>
          <w:ilvl w:val="0"/>
          <w:numId w:val="31"/>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Delegarea şi transferul de autoritate trebuie să fie efectuat prin: contribuirea la creşterea de competenţe, alocarea de resurse suficiente, aplicarea principiului participativ şi transparenţei în acţiunile cu caracter public..</w:t>
      </w:r>
    </w:p>
    <w:p w:rsidR="008C5887" w:rsidRPr="008C5887" w:rsidRDefault="008C5887" w:rsidP="008C5887">
      <w:pPr>
        <w:numPr>
          <w:ilvl w:val="0"/>
          <w:numId w:val="31"/>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Sunt propuse realocări spre alte instituţii a unor responsabilităţi legate de sistemul educaţional, militar, fiscal.</w:t>
      </w:r>
    </w:p>
    <w:p w:rsidR="008C5887" w:rsidRPr="008C5887" w:rsidRDefault="008C5887" w:rsidP="008C5887">
      <w:pPr>
        <w:numPr>
          <w:ilvl w:val="0"/>
          <w:numId w:val="31"/>
        </w:numPr>
        <w:spacing w:after="0" w:line="240" w:lineRule="auto"/>
        <w:rPr>
          <w:rFonts w:ascii="Times New Roman" w:eastAsiaTheme="minorEastAsia" w:hAnsi="Times New Roman" w:cs="Times New Roman"/>
          <w:color w:val="000000" w:themeColor="text1"/>
          <w:sz w:val="24"/>
          <w:szCs w:val="24"/>
          <w:lang w:val="ro-RO" w:eastAsia="ro-RO"/>
        </w:rPr>
      </w:pPr>
      <w:r w:rsidRPr="008C5887">
        <w:rPr>
          <w:rFonts w:ascii="Times New Roman" w:eastAsiaTheme="minorEastAsia" w:hAnsi="Times New Roman" w:cs="Times New Roman"/>
          <w:color w:val="000000" w:themeColor="text1"/>
          <w:sz w:val="24"/>
          <w:szCs w:val="24"/>
          <w:lang w:val="ro-RO" w:eastAsia="ro-RO"/>
        </w:rPr>
        <w:t>Este frecventă implicarea funcţionarilor în alte activităţi decît cele stabilite în baza funcţiei ocupate, fapt ce afectează activitatea normală a subdiviziunilor şi calitatea executării funcţiilor.</w:t>
      </w:r>
    </w:p>
    <w:p w:rsidR="008C5887" w:rsidRPr="008C5887" w:rsidRDefault="008C5887" w:rsidP="008C5887">
      <w:pPr>
        <w:contextualSpacing/>
        <w:jc w:val="both"/>
        <w:rPr>
          <w:rFonts w:ascii="Times New Roman" w:eastAsiaTheme="minorEastAsia" w:hAnsi="Times New Roman"/>
          <w:color w:val="FF0000"/>
          <w:sz w:val="24"/>
          <w:szCs w:val="24"/>
          <w:lang w:val="ro-RO"/>
        </w:rPr>
      </w:pPr>
    </w:p>
    <w:p w:rsidR="008C5887" w:rsidRPr="008C5887" w:rsidRDefault="008C5887" w:rsidP="008C5887">
      <w:pPr>
        <w:contextualSpacing/>
        <w:jc w:val="both"/>
        <w:rPr>
          <w:rFonts w:ascii="Times New Roman" w:eastAsiaTheme="minorEastAsia" w:hAnsi="Times New Roman"/>
          <w:color w:val="000000" w:themeColor="text1"/>
          <w:sz w:val="24"/>
          <w:szCs w:val="24"/>
          <w:lang w:val="ro-RO"/>
        </w:rPr>
      </w:pPr>
      <w:r w:rsidRPr="008C5887">
        <w:rPr>
          <w:rFonts w:ascii="Times New Roman" w:eastAsiaTheme="minorEastAsia" w:hAnsi="Times New Roman"/>
          <w:color w:val="000000" w:themeColor="text1"/>
          <w:sz w:val="24"/>
          <w:szCs w:val="24"/>
          <w:lang w:val="ro-RO"/>
        </w:rPr>
        <w:t>În APL Grozești  s-a format o echipă din membri cu experienţă , dar care şi-au propus o viziune şi o misiune unică: dezvoltarea comunităţii și facilitarea accesului populației la servicii publice calitative .</w:t>
      </w:r>
    </w:p>
    <w:p w:rsidR="008C5887" w:rsidRPr="008C5887" w:rsidRDefault="008C5887" w:rsidP="008C5887">
      <w:pPr>
        <w:contextualSpacing/>
        <w:jc w:val="both"/>
        <w:rPr>
          <w:rFonts w:ascii="Times New Roman" w:eastAsiaTheme="minorEastAsia" w:hAnsi="Times New Roman"/>
          <w:color w:val="000000" w:themeColor="text1"/>
          <w:sz w:val="24"/>
          <w:szCs w:val="24"/>
          <w:lang w:val="ro-RO"/>
        </w:rPr>
      </w:pPr>
    </w:p>
    <w:p w:rsidR="008C5887" w:rsidRPr="008C5887" w:rsidRDefault="008C5887" w:rsidP="008C5887">
      <w:pPr>
        <w:contextualSpacing/>
        <w:jc w:val="both"/>
        <w:rPr>
          <w:rFonts w:ascii="Times New Roman" w:eastAsiaTheme="minorEastAsia" w:hAnsi="Times New Roman"/>
          <w:color w:val="000000" w:themeColor="text1"/>
          <w:sz w:val="24"/>
          <w:szCs w:val="24"/>
          <w:lang w:val="en-US"/>
        </w:rPr>
      </w:pPr>
      <w:r w:rsidRPr="008C5887">
        <w:rPr>
          <w:rFonts w:ascii="Times New Roman" w:eastAsiaTheme="minorEastAsia" w:hAnsi="Times New Roman"/>
          <w:color w:val="000000" w:themeColor="text1"/>
          <w:sz w:val="24"/>
          <w:szCs w:val="24"/>
          <w:lang w:val="ro-RO"/>
        </w:rPr>
        <w:t xml:space="preserve"> </w:t>
      </w:r>
      <w:r w:rsidRPr="008C5887">
        <w:rPr>
          <w:rFonts w:ascii="Times New Roman" w:eastAsiaTheme="minorEastAsia" w:hAnsi="Times New Roman"/>
          <w:color w:val="000000" w:themeColor="text1"/>
          <w:sz w:val="24"/>
          <w:szCs w:val="24"/>
          <w:lang w:val="en-US"/>
        </w:rPr>
        <w:t xml:space="preserve">Am parcurs împreună mulți ani de experienţe </w:t>
      </w:r>
      <w:proofErr w:type="gramStart"/>
      <w:r w:rsidRPr="008C5887">
        <w:rPr>
          <w:rFonts w:ascii="Times New Roman" w:eastAsiaTheme="minorEastAsia" w:hAnsi="Times New Roman"/>
          <w:color w:val="000000" w:themeColor="text1"/>
          <w:sz w:val="24"/>
          <w:szCs w:val="24"/>
          <w:lang w:val="en-US"/>
        </w:rPr>
        <w:t>noi ,</w:t>
      </w:r>
      <w:proofErr w:type="gramEnd"/>
      <w:r w:rsidRPr="008C5887">
        <w:rPr>
          <w:rFonts w:ascii="Times New Roman" w:eastAsiaTheme="minorEastAsia" w:hAnsi="Times New Roman"/>
          <w:color w:val="000000" w:themeColor="text1"/>
          <w:sz w:val="24"/>
          <w:szCs w:val="24"/>
          <w:lang w:val="en-US"/>
        </w:rPr>
        <w:t xml:space="preserve"> pentru că  domeniul administraţiei publice locale este în permanentă reformare, sub aspect organizaţional, social, administrativ, economic, juridic,etc. </w:t>
      </w:r>
    </w:p>
    <w:p w:rsidR="008C5887" w:rsidRPr="008C5887" w:rsidRDefault="008C5887" w:rsidP="008C5887">
      <w:pPr>
        <w:contextualSpacing/>
        <w:jc w:val="both"/>
        <w:rPr>
          <w:rFonts w:ascii="Times New Roman" w:eastAsiaTheme="minorEastAsia" w:hAnsi="Times New Roman"/>
          <w:color w:val="000000" w:themeColor="text1"/>
          <w:sz w:val="24"/>
          <w:szCs w:val="24"/>
          <w:lang w:val="en-US"/>
        </w:rPr>
      </w:pPr>
      <w:r w:rsidRPr="008C5887">
        <w:rPr>
          <w:rFonts w:ascii="Times New Roman" w:eastAsiaTheme="minorEastAsia" w:hAnsi="Times New Roman" w:cs="Times New Roman"/>
          <w:b/>
          <w:color w:val="000000" w:themeColor="text1"/>
          <w:sz w:val="24"/>
          <w:szCs w:val="24"/>
          <w:lang w:val="en-US"/>
        </w:rPr>
        <w:lastRenderedPageBreak/>
        <w:t xml:space="preserve">Planului  de dezvoltare a </w:t>
      </w:r>
      <w:r w:rsidRPr="008C5887">
        <w:rPr>
          <w:rFonts w:ascii="Times New Roman" w:eastAsiaTheme="minorEastAsia" w:hAnsi="Times New Roman" w:cs="Times New Roman"/>
          <w:b/>
          <w:bCs/>
          <w:color w:val="000000" w:themeColor="text1"/>
          <w:sz w:val="24"/>
          <w:szCs w:val="24"/>
          <w:lang w:val="en-US"/>
        </w:rPr>
        <w:t xml:space="preserve">capacităţilor  administrative a autorităţilor APL Grozești  </w:t>
      </w:r>
      <w:r w:rsidRPr="008C5887">
        <w:rPr>
          <w:rFonts w:ascii="Times New Roman" w:eastAsiaTheme="minorEastAsia" w:hAnsi="Times New Roman"/>
          <w:b/>
          <w:bCs/>
          <w:color w:val="000000" w:themeColor="text1"/>
          <w:sz w:val="24"/>
          <w:szCs w:val="24"/>
          <w:lang w:val="en-US"/>
        </w:rPr>
        <w:t>pentru anii 2021- 2026, , sperăm , să faciliteze procesul de îmbunătățire și diversificare a activităților.</w:t>
      </w:r>
    </w:p>
    <w:p w:rsidR="008C5887" w:rsidRPr="008C5887" w:rsidRDefault="008C5887" w:rsidP="008C5887">
      <w:pPr>
        <w:contextualSpacing/>
        <w:jc w:val="both"/>
        <w:rPr>
          <w:rFonts w:ascii="Times New Roman" w:eastAsiaTheme="minorEastAsia" w:hAnsi="Times New Roman"/>
          <w:color w:val="FF0000"/>
          <w:sz w:val="24"/>
          <w:szCs w:val="24"/>
          <w:lang w:val="en-US"/>
        </w:rPr>
      </w:pPr>
      <w:r w:rsidRPr="008C5887">
        <w:rPr>
          <w:rFonts w:ascii="Times New Roman" w:eastAsiaTheme="minorEastAsia" w:hAnsi="Times New Roman"/>
          <w:color w:val="000000" w:themeColor="text1"/>
          <w:sz w:val="24"/>
          <w:szCs w:val="24"/>
          <w:lang w:val="en-US"/>
        </w:rPr>
        <w:t xml:space="preserve">În unele domenii am depistat deseori </w:t>
      </w:r>
      <w:proofErr w:type="gramStart"/>
      <w:r w:rsidRPr="008C5887">
        <w:rPr>
          <w:rFonts w:ascii="Times New Roman" w:eastAsiaTheme="minorEastAsia" w:hAnsi="Times New Roman"/>
          <w:color w:val="000000" w:themeColor="text1"/>
          <w:sz w:val="24"/>
          <w:szCs w:val="24"/>
          <w:lang w:val="en-US"/>
        </w:rPr>
        <w:t>un</w:t>
      </w:r>
      <w:proofErr w:type="gramEnd"/>
      <w:r w:rsidRPr="008C5887">
        <w:rPr>
          <w:rFonts w:ascii="Times New Roman" w:eastAsiaTheme="minorEastAsia" w:hAnsi="Times New Roman"/>
          <w:color w:val="000000" w:themeColor="text1"/>
          <w:sz w:val="24"/>
          <w:szCs w:val="24"/>
          <w:lang w:val="en-US"/>
        </w:rPr>
        <w:t xml:space="preserve"> caracter confuz şi neclar din punctul de vedere al delegării competenţelor, dar am găsit soluţii, uneori de moment, neavînd în consideraţie atribuţiile fiecăruia, muncind uneori peste norme, dar scopul a fost unic: de a aduce acasă servicii, infrastructură dezvoltată şi o calitate mai bună a vieţii cetăţenilor.</w:t>
      </w:r>
      <w:r w:rsidRPr="008C5887">
        <w:rPr>
          <w:rFonts w:ascii="Times New Roman" w:eastAsiaTheme="minorEastAsia" w:hAnsi="Times New Roman"/>
          <w:color w:val="FF0000"/>
          <w:sz w:val="24"/>
          <w:szCs w:val="24"/>
          <w:lang w:val="en-US"/>
        </w:rPr>
        <w:t xml:space="preserve">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olor w:val="FF0000"/>
          <w:sz w:val="24"/>
          <w:szCs w:val="24"/>
          <w:lang w:val="en-US"/>
        </w:rPr>
        <w:t xml:space="preserve">  </w:t>
      </w:r>
      <w:r w:rsidRPr="008C5887">
        <w:rPr>
          <w:rFonts w:ascii="Times New Roman" w:eastAsiaTheme="minorEastAsia" w:hAnsi="Times New Roman" w:cs="Times New Roman"/>
          <w:b/>
          <w:bCs/>
          <w:color w:val="000000"/>
          <w:sz w:val="24"/>
          <w:szCs w:val="24"/>
          <w:lang w:val="ro-RO" w:eastAsia="ro-RO"/>
        </w:rPr>
        <w:t xml:space="preserve">Concluzii. </w:t>
      </w:r>
      <w:r w:rsidRPr="008C5887">
        <w:rPr>
          <w:rFonts w:ascii="Times New Roman" w:eastAsiaTheme="minorEastAsia" w:hAnsi="Times New Roman" w:cs="Times New Roman"/>
          <w:color w:val="000000"/>
          <w:sz w:val="24"/>
          <w:szCs w:val="24"/>
          <w:lang w:val="ro-RO" w:eastAsia="ro-RO"/>
        </w:rPr>
        <w:t xml:space="preserve">În concluzie, se poate remarca faptul că aceste tendinţe ale administraţiei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b/>
          <w:bCs/>
          <w:color w:val="000000"/>
          <w:sz w:val="24"/>
          <w:szCs w:val="24"/>
          <w:lang w:val="ro-RO" w:eastAsia="ro-RO"/>
        </w:rPr>
        <w:t xml:space="preserve">                   </w:t>
      </w:r>
      <w:r w:rsidRPr="008C5887">
        <w:rPr>
          <w:rFonts w:ascii="Times New Roman" w:eastAsiaTheme="minorEastAsia" w:hAnsi="Times New Roman" w:cs="Times New Roman"/>
          <w:color w:val="000000"/>
          <w:sz w:val="24"/>
          <w:szCs w:val="24"/>
          <w:lang w:val="ro-RO" w:eastAsia="ro-RO"/>
        </w:rPr>
        <w:t xml:space="preserve">publice Grtozești indică, în  fond, profundele schimbări necesare în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instituţiile publice din Republica Moldova .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Realitatea demonstrează, că o continuare a desfăşurării proceselor de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management şi de executare din cadrul administraţiei publice locale, în </w:t>
      </w:r>
    </w:p>
    <w:p w:rsidR="008C5887" w:rsidRPr="008C5887" w:rsidRDefault="008C5887" w:rsidP="008C5887">
      <w:pPr>
        <w:contextualSpacing/>
        <w:rPr>
          <w:rFonts w:ascii="Times New Roman" w:eastAsiaTheme="minorEastAsia" w:hAnsi="Times New Roman" w:cs="Times New Roman"/>
          <w:color w:val="000000"/>
          <w:sz w:val="24"/>
          <w:szCs w:val="24"/>
          <w:lang w:val="ro-RO" w:eastAsia="ro-RO"/>
        </w:rPr>
      </w:pPr>
      <w:r w:rsidRPr="008C5887">
        <w:rPr>
          <w:rFonts w:ascii="Times New Roman" w:eastAsiaTheme="minorEastAsia" w:hAnsi="Times New Roman" w:cs="Times New Roman"/>
          <w:color w:val="000000"/>
          <w:sz w:val="24"/>
          <w:szCs w:val="24"/>
          <w:lang w:val="ro-RO" w:eastAsia="ro-RO"/>
        </w:rPr>
        <w:t xml:space="preserve">                   contextul bunelor practici , vor contribui la realizarea noilor obiective ale </w:t>
      </w:r>
    </w:p>
    <w:p w:rsidR="008C5887" w:rsidRPr="008C5887" w:rsidRDefault="008C5887" w:rsidP="008C5887">
      <w:pPr>
        <w:contextualSpacing/>
        <w:rPr>
          <w:rFonts w:ascii="Times New Roman" w:eastAsiaTheme="minorEastAsia" w:hAnsi="Times New Roman" w:cs="Times New Roman"/>
          <w:color w:val="FF0000"/>
          <w:sz w:val="24"/>
          <w:szCs w:val="24"/>
          <w:lang w:val="en-US"/>
        </w:rPr>
      </w:pPr>
      <w:r w:rsidRPr="008C5887">
        <w:rPr>
          <w:rFonts w:ascii="Times New Roman" w:eastAsiaTheme="minorEastAsia" w:hAnsi="Times New Roman" w:cs="Times New Roman"/>
          <w:color w:val="000000"/>
          <w:sz w:val="24"/>
          <w:szCs w:val="24"/>
          <w:lang w:val="ro-RO" w:eastAsia="ro-RO"/>
        </w:rPr>
        <w:t xml:space="preserve">                   managementului public dințară și din localitatea noastră.</w:t>
      </w:r>
      <w:r w:rsidRPr="008C5887">
        <w:rPr>
          <w:rFonts w:ascii="Times New Roman" w:eastAsiaTheme="minorEastAsia" w:hAnsi="Times New Roman" w:cs="Times New Roman"/>
          <w:sz w:val="24"/>
          <w:szCs w:val="24"/>
          <w:lang w:val="ro-RO" w:eastAsia="ro-RO"/>
        </w:rPr>
        <w:t xml:space="preserve"> </w:t>
      </w:r>
      <w:r w:rsidRPr="008C5887">
        <w:rPr>
          <w:rFonts w:ascii="Times New Roman" w:eastAsiaTheme="minorEastAsia" w:hAnsi="Times New Roman" w:cs="Times New Roman"/>
          <w:color w:val="FF0000"/>
          <w:sz w:val="24"/>
          <w:szCs w:val="24"/>
          <w:lang w:val="en-US"/>
        </w:rPr>
        <w:t xml:space="preserve">   </w:t>
      </w:r>
    </w:p>
    <w:p w:rsidR="008C5887" w:rsidRPr="008C5887" w:rsidRDefault="008C5887" w:rsidP="008C5887">
      <w:pPr>
        <w:contextualSpacing/>
        <w:rPr>
          <w:rFonts w:ascii="Times New Roman" w:eastAsiaTheme="minorEastAsia" w:hAnsi="Times New Roman" w:cs="Times New Roman"/>
          <w:color w:val="FF0000"/>
          <w:sz w:val="24"/>
          <w:szCs w:val="24"/>
          <w:lang w:val="en-US"/>
        </w:rPr>
      </w:pPr>
    </w:p>
    <w:p w:rsidR="008C5887" w:rsidRPr="008C5887" w:rsidRDefault="008C5887" w:rsidP="008C5887">
      <w:pPr>
        <w:contextualSpacing/>
        <w:rPr>
          <w:rFonts w:ascii="Times New Roman" w:eastAsiaTheme="minorEastAsia" w:hAnsi="Times New Roman" w:cs="Times New Roman"/>
          <w:color w:val="FF0000"/>
          <w:sz w:val="24"/>
          <w:szCs w:val="24"/>
          <w:lang w:val="en-US"/>
        </w:rPr>
      </w:pPr>
      <w:r w:rsidRPr="008C5887">
        <w:rPr>
          <w:rFonts w:ascii="Times New Roman" w:eastAsiaTheme="minorEastAsia" w:hAnsi="Times New Roman" w:cs="Times New Roman"/>
          <w:color w:val="FF0000"/>
          <w:sz w:val="24"/>
          <w:szCs w:val="24"/>
          <w:lang w:val="en-US"/>
        </w:rPr>
        <w:t xml:space="preserve">                </w:t>
      </w:r>
    </w:p>
    <w:p w:rsidR="008C5887" w:rsidRPr="008C5887" w:rsidRDefault="008C5887" w:rsidP="008C5887">
      <w:pPr>
        <w:contextualSpacing/>
        <w:rPr>
          <w:rFonts w:ascii="Times New Roman" w:eastAsiaTheme="minorEastAsia" w:hAnsi="Times New Roman" w:cs="Times New Roman"/>
          <w:color w:val="FF0000"/>
          <w:sz w:val="24"/>
          <w:szCs w:val="24"/>
          <w:lang w:val="en-US"/>
        </w:rPr>
      </w:pPr>
      <w:r w:rsidRPr="008C5887">
        <w:rPr>
          <w:rFonts w:ascii="Times New Roman" w:eastAsiaTheme="minorEastAsia" w:hAnsi="Times New Roman" w:cs="Times New Roman"/>
          <w:color w:val="FF0000"/>
          <w:sz w:val="24"/>
          <w:szCs w:val="24"/>
          <w:lang w:val="en-US"/>
        </w:rPr>
        <w:t xml:space="preserve">    </w:t>
      </w: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r w:rsidRPr="008C5887">
        <w:rPr>
          <w:rFonts w:ascii="Times New Roman" w:eastAsiaTheme="minorEastAsia" w:hAnsi="Times New Roman" w:cs="Times New Roman"/>
          <w:color w:val="000000" w:themeColor="text1"/>
          <w:sz w:val="24"/>
          <w:szCs w:val="24"/>
          <w:lang w:val="en-US"/>
        </w:rPr>
        <w:t xml:space="preserve">Secretarul Consiliul                  Svetlana  </w:t>
      </w:r>
      <w:r>
        <w:rPr>
          <w:rFonts w:ascii="Times New Roman" w:eastAsiaTheme="minorEastAsia" w:hAnsi="Times New Roman" w:cs="Times New Roman"/>
          <w:color w:val="000000" w:themeColor="text1"/>
          <w:sz w:val="24"/>
          <w:szCs w:val="24"/>
          <w:lang w:val="en-US"/>
        </w:rPr>
        <w:t xml:space="preserve"> MITROFAN </w:t>
      </w:r>
      <w:bookmarkStart w:id="0" w:name="_GoBack"/>
      <w:bookmarkEnd w:id="0"/>
      <w:r w:rsidRPr="008C5887">
        <w:rPr>
          <w:rFonts w:ascii="Times New Roman" w:eastAsiaTheme="minorEastAsia" w:hAnsi="Times New Roman" w:cs="Times New Roman"/>
          <w:color w:val="000000" w:themeColor="text1"/>
          <w:sz w:val="24"/>
          <w:szCs w:val="24"/>
          <w:lang w:val="en-US"/>
        </w:rPr>
        <w:br/>
      </w: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8C5887" w:rsidRPr="008C5887" w:rsidRDefault="008C5887" w:rsidP="008C5887">
      <w:pPr>
        <w:contextualSpacing/>
        <w:rPr>
          <w:rFonts w:ascii="Times New Roman" w:eastAsiaTheme="minorEastAsia" w:hAnsi="Times New Roman" w:cs="Times New Roman"/>
          <w:b/>
          <w:color w:val="000000" w:themeColor="text1"/>
          <w:sz w:val="24"/>
          <w:szCs w:val="24"/>
          <w:lang w:val="en-US"/>
        </w:rPr>
      </w:pPr>
    </w:p>
    <w:p w:rsidR="006E033D" w:rsidRDefault="006E033D"/>
    <w:sectPr w:rsidR="006E0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86E"/>
    <w:multiLevelType w:val="multilevel"/>
    <w:tmpl w:val="F2D8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35A6A"/>
    <w:multiLevelType w:val="hybridMultilevel"/>
    <w:tmpl w:val="98E05A8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A440417"/>
    <w:multiLevelType w:val="hybridMultilevel"/>
    <w:tmpl w:val="124C505A"/>
    <w:lvl w:ilvl="0" w:tplc="DF02CF2A">
      <w:start w:val="1"/>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7A2917"/>
    <w:multiLevelType w:val="multilevel"/>
    <w:tmpl w:val="7736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352BC"/>
    <w:multiLevelType w:val="hybridMultilevel"/>
    <w:tmpl w:val="F2CE84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612740C"/>
    <w:multiLevelType w:val="hybridMultilevel"/>
    <w:tmpl w:val="F45C0680"/>
    <w:lvl w:ilvl="0" w:tplc="1A12940E">
      <w:start w:val="1"/>
      <w:numFmt w:val="decimal"/>
      <w:lvlText w:val="%1."/>
      <w:lvlJc w:val="left"/>
      <w:pPr>
        <w:tabs>
          <w:tab w:val="num" w:pos="420"/>
        </w:tabs>
        <w:ind w:left="420" w:hanging="360"/>
      </w:pPr>
      <w:rPr>
        <w:rFonts w:ascii="Times New Roman" w:eastAsia="Times New Roman" w:hAnsi="Times New Roman" w:cs="Times New Roman"/>
      </w:rPr>
    </w:lvl>
    <w:lvl w:ilvl="1" w:tplc="CE58B974">
      <w:numFmt w:val="bullet"/>
      <w:lvlText w:val="-"/>
      <w:lvlJc w:val="left"/>
      <w:pPr>
        <w:tabs>
          <w:tab w:val="num" w:pos="1140"/>
        </w:tabs>
        <w:ind w:left="1140" w:hanging="360"/>
      </w:pPr>
      <w:rPr>
        <w:rFonts w:ascii="Times New Roman" w:eastAsia="Times New Roman" w:hAnsi="Times New Roman" w:cs="Times New Roman"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16B6025C"/>
    <w:multiLevelType w:val="multilevel"/>
    <w:tmpl w:val="75F6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E2537"/>
    <w:multiLevelType w:val="multilevel"/>
    <w:tmpl w:val="CD2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9611C"/>
    <w:multiLevelType w:val="hybridMultilevel"/>
    <w:tmpl w:val="9A88C7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B57B5F"/>
    <w:multiLevelType w:val="multilevel"/>
    <w:tmpl w:val="608C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FD308C"/>
    <w:multiLevelType w:val="hybridMultilevel"/>
    <w:tmpl w:val="8EB417F6"/>
    <w:lvl w:ilvl="0" w:tplc="04180001">
      <w:start w:val="1"/>
      <w:numFmt w:val="bullet"/>
      <w:lvlText w:val=""/>
      <w:lvlJc w:val="left"/>
      <w:pPr>
        <w:ind w:left="885" w:hanging="360"/>
      </w:pPr>
      <w:rPr>
        <w:rFonts w:ascii="Symbol" w:hAnsi="Symbol" w:hint="default"/>
      </w:rPr>
    </w:lvl>
    <w:lvl w:ilvl="1" w:tplc="04180003" w:tentative="1">
      <w:start w:val="1"/>
      <w:numFmt w:val="bullet"/>
      <w:lvlText w:val="o"/>
      <w:lvlJc w:val="left"/>
      <w:pPr>
        <w:ind w:left="1605" w:hanging="360"/>
      </w:pPr>
      <w:rPr>
        <w:rFonts w:ascii="Courier New" w:hAnsi="Courier New" w:cs="Courier New" w:hint="default"/>
      </w:rPr>
    </w:lvl>
    <w:lvl w:ilvl="2" w:tplc="04180005" w:tentative="1">
      <w:start w:val="1"/>
      <w:numFmt w:val="bullet"/>
      <w:lvlText w:val=""/>
      <w:lvlJc w:val="left"/>
      <w:pPr>
        <w:ind w:left="2325" w:hanging="360"/>
      </w:pPr>
      <w:rPr>
        <w:rFonts w:ascii="Wingdings" w:hAnsi="Wingdings" w:hint="default"/>
      </w:rPr>
    </w:lvl>
    <w:lvl w:ilvl="3" w:tplc="04180001" w:tentative="1">
      <w:start w:val="1"/>
      <w:numFmt w:val="bullet"/>
      <w:lvlText w:val=""/>
      <w:lvlJc w:val="left"/>
      <w:pPr>
        <w:ind w:left="3045" w:hanging="360"/>
      </w:pPr>
      <w:rPr>
        <w:rFonts w:ascii="Symbol" w:hAnsi="Symbol" w:hint="default"/>
      </w:rPr>
    </w:lvl>
    <w:lvl w:ilvl="4" w:tplc="04180003" w:tentative="1">
      <w:start w:val="1"/>
      <w:numFmt w:val="bullet"/>
      <w:lvlText w:val="o"/>
      <w:lvlJc w:val="left"/>
      <w:pPr>
        <w:ind w:left="3765" w:hanging="360"/>
      </w:pPr>
      <w:rPr>
        <w:rFonts w:ascii="Courier New" w:hAnsi="Courier New" w:cs="Courier New" w:hint="default"/>
      </w:rPr>
    </w:lvl>
    <w:lvl w:ilvl="5" w:tplc="04180005" w:tentative="1">
      <w:start w:val="1"/>
      <w:numFmt w:val="bullet"/>
      <w:lvlText w:val=""/>
      <w:lvlJc w:val="left"/>
      <w:pPr>
        <w:ind w:left="4485" w:hanging="360"/>
      </w:pPr>
      <w:rPr>
        <w:rFonts w:ascii="Wingdings" w:hAnsi="Wingdings" w:hint="default"/>
      </w:rPr>
    </w:lvl>
    <w:lvl w:ilvl="6" w:tplc="04180001" w:tentative="1">
      <w:start w:val="1"/>
      <w:numFmt w:val="bullet"/>
      <w:lvlText w:val=""/>
      <w:lvlJc w:val="left"/>
      <w:pPr>
        <w:ind w:left="5205" w:hanging="360"/>
      </w:pPr>
      <w:rPr>
        <w:rFonts w:ascii="Symbol" w:hAnsi="Symbol" w:hint="default"/>
      </w:rPr>
    </w:lvl>
    <w:lvl w:ilvl="7" w:tplc="04180003" w:tentative="1">
      <w:start w:val="1"/>
      <w:numFmt w:val="bullet"/>
      <w:lvlText w:val="o"/>
      <w:lvlJc w:val="left"/>
      <w:pPr>
        <w:ind w:left="5925" w:hanging="360"/>
      </w:pPr>
      <w:rPr>
        <w:rFonts w:ascii="Courier New" w:hAnsi="Courier New" w:cs="Courier New" w:hint="default"/>
      </w:rPr>
    </w:lvl>
    <w:lvl w:ilvl="8" w:tplc="04180005" w:tentative="1">
      <w:start w:val="1"/>
      <w:numFmt w:val="bullet"/>
      <w:lvlText w:val=""/>
      <w:lvlJc w:val="left"/>
      <w:pPr>
        <w:ind w:left="6645" w:hanging="360"/>
      </w:pPr>
      <w:rPr>
        <w:rFonts w:ascii="Wingdings" w:hAnsi="Wingdings" w:hint="default"/>
      </w:rPr>
    </w:lvl>
  </w:abstractNum>
  <w:abstractNum w:abstractNumId="11">
    <w:nsid w:val="1E10765E"/>
    <w:multiLevelType w:val="hybridMultilevel"/>
    <w:tmpl w:val="5BA2CD0E"/>
    <w:lvl w:ilvl="0" w:tplc="41327CFC">
      <w:start w:val="1"/>
      <w:numFmt w:val="upperRoman"/>
      <w:lvlText w:val="%1."/>
      <w:lvlJc w:val="left"/>
      <w:pPr>
        <w:ind w:left="1288"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11D0308"/>
    <w:multiLevelType w:val="hybridMultilevel"/>
    <w:tmpl w:val="8EF011EA"/>
    <w:lvl w:ilvl="0" w:tplc="C1C2A5BC">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1B567CB"/>
    <w:multiLevelType w:val="multilevel"/>
    <w:tmpl w:val="2D0E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BD6A8D"/>
    <w:multiLevelType w:val="hybridMultilevel"/>
    <w:tmpl w:val="E2C43D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7EE0192"/>
    <w:multiLevelType w:val="multilevel"/>
    <w:tmpl w:val="B750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A4685D"/>
    <w:multiLevelType w:val="hybridMultilevel"/>
    <w:tmpl w:val="E7C649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E13F03"/>
    <w:multiLevelType w:val="hybridMultilevel"/>
    <w:tmpl w:val="F192FF58"/>
    <w:lvl w:ilvl="0" w:tplc="69F2F858">
      <w:start w:val="1"/>
      <w:numFmt w:val="lowerLetter"/>
      <w:lvlText w:val="%1)"/>
      <w:lvlJc w:val="left"/>
      <w:pPr>
        <w:tabs>
          <w:tab w:val="num" w:pos="930"/>
        </w:tabs>
        <w:ind w:left="930" w:hanging="360"/>
      </w:pPr>
      <w:rPr>
        <w:rFonts w:ascii="Calibri" w:eastAsia="Times New Roman" w:hAnsi="Calibri" w:cs="Times New Roman"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36284E64"/>
    <w:multiLevelType w:val="multilevel"/>
    <w:tmpl w:val="0B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315051"/>
    <w:multiLevelType w:val="hybridMultilevel"/>
    <w:tmpl w:val="E7B22B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9113A6"/>
    <w:multiLevelType w:val="hybridMultilevel"/>
    <w:tmpl w:val="F4E6AF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FA1563"/>
    <w:multiLevelType w:val="hybridMultilevel"/>
    <w:tmpl w:val="A93CF31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DDF16E3"/>
    <w:multiLevelType w:val="hybridMultilevel"/>
    <w:tmpl w:val="6C4E5970"/>
    <w:lvl w:ilvl="0" w:tplc="0F7A2FE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E9A1D8F"/>
    <w:multiLevelType w:val="hybridMultilevel"/>
    <w:tmpl w:val="792AC4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CE1943"/>
    <w:multiLevelType w:val="hybridMultilevel"/>
    <w:tmpl w:val="8DD82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190458"/>
    <w:multiLevelType w:val="hybridMultilevel"/>
    <w:tmpl w:val="B8E6DB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6B5DE9"/>
    <w:multiLevelType w:val="multilevel"/>
    <w:tmpl w:val="1854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981E51"/>
    <w:multiLevelType w:val="multilevel"/>
    <w:tmpl w:val="7C48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D65BCA"/>
    <w:multiLevelType w:val="hybridMultilevel"/>
    <w:tmpl w:val="4370949A"/>
    <w:lvl w:ilvl="0" w:tplc="47DE671A">
      <w:start w:val="1"/>
      <w:numFmt w:val="decimal"/>
      <w:lvlText w:val="%1."/>
      <w:lvlJc w:val="left"/>
      <w:pPr>
        <w:ind w:left="1080" w:hanging="360"/>
      </w:pPr>
      <w:rPr>
        <w:rFonts w:ascii="Times New Roman" w:hAnsi="Times New Roman" w:cs="Times New Roman" w:hint="default"/>
        <w:b/>
        <w:color w:val="000000" w:themeColor="text1"/>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64486136"/>
    <w:multiLevelType w:val="hybridMultilevel"/>
    <w:tmpl w:val="5008BE0E"/>
    <w:lvl w:ilvl="0" w:tplc="129C6FF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0">
    <w:nsid w:val="72334EC1"/>
    <w:multiLevelType w:val="multilevel"/>
    <w:tmpl w:val="2A5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501C64"/>
    <w:multiLevelType w:val="hybridMultilevel"/>
    <w:tmpl w:val="AAC275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7FD6B49"/>
    <w:multiLevelType w:val="multilevel"/>
    <w:tmpl w:val="583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BF0ECB"/>
    <w:multiLevelType w:val="hybridMultilevel"/>
    <w:tmpl w:val="1C600C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91615C2"/>
    <w:multiLevelType w:val="hybridMultilevel"/>
    <w:tmpl w:val="89E6B106"/>
    <w:lvl w:ilvl="0" w:tplc="A3080EB6">
      <w:start w:val="1"/>
      <w:numFmt w:val="lowerLetter"/>
      <w:lvlText w:val="%1)"/>
      <w:lvlJc w:val="left"/>
      <w:pPr>
        <w:ind w:left="644" w:hanging="360"/>
      </w:pPr>
      <w:rPr>
        <w:rFonts w:hint="default"/>
        <w:b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5">
    <w:nsid w:val="791C7E50"/>
    <w:multiLevelType w:val="hybridMultilevel"/>
    <w:tmpl w:val="EE803D02"/>
    <w:lvl w:ilvl="0" w:tplc="1272DD36">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651D1A"/>
    <w:multiLevelType w:val="multilevel"/>
    <w:tmpl w:val="6BCA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7"/>
  </w:num>
  <w:num w:numId="5">
    <w:abstractNumId w:val="36"/>
  </w:num>
  <w:num w:numId="6">
    <w:abstractNumId w:val="6"/>
  </w:num>
  <w:num w:numId="7">
    <w:abstractNumId w:val="27"/>
  </w:num>
  <w:num w:numId="8">
    <w:abstractNumId w:val="9"/>
  </w:num>
  <w:num w:numId="9">
    <w:abstractNumId w:val="32"/>
  </w:num>
  <w:num w:numId="10">
    <w:abstractNumId w:val="15"/>
  </w:num>
  <w:num w:numId="11">
    <w:abstractNumId w:val="0"/>
  </w:num>
  <w:num w:numId="12">
    <w:abstractNumId w:val="30"/>
  </w:num>
  <w:num w:numId="13">
    <w:abstractNumId w:val="26"/>
  </w:num>
  <w:num w:numId="14">
    <w:abstractNumId w:val="13"/>
  </w:num>
  <w:num w:numId="15">
    <w:abstractNumId w:val="4"/>
  </w:num>
  <w:num w:numId="16">
    <w:abstractNumId w:val="2"/>
  </w:num>
  <w:num w:numId="17">
    <w:abstractNumId w:val="33"/>
  </w:num>
  <w:num w:numId="18">
    <w:abstractNumId w:val="20"/>
  </w:num>
  <w:num w:numId="19">
    <w:abstractNumId w:val="17"/>
  </w:num>
  <w:num w:numId="20">
    <w:abstractNumId w:val="21"/>
  </w:num>
  <w:num w:numId="21">
    <w:abstractNumId w:val="35"/>
  </w:num>
  <w:num w:numId="22">
    <w:abstractNumId w:val="23"/>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8"/>
  </w:num>
  <w:num w:numId="27">
    <w:abstractNumId w:val="31"/>
  </w:num>
  <w:num w:numId="28">
    <w:abstractNumId w:val="28"/>
  </w:num>
  <w:num w:numId="29">
    <w:abstractNumId w:val="16"/>
  </w:num>
  <w:num w:numId="30">
    <w:abstractNumId w:val="14"/>
  </w:num>
  <w:num w:numId="31">
    <w:abstractNumId w:val="24"/>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929"/>
    <w:rsid w:val="002B3929"/>
    <w:rsid w:val="006E033D"/>
    <w:rsid w:val="008C5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5887"/>
  </w:style>
  <w:style w:type="paragraph" w:styleId="a3">
    <w:name w:val="List Paragraph"/>
    <w:aliases w:val="HotarirePunct1,List Paragraph1,List Paragraph 1"/>
    <w:basedOn w:val="a"/>
    <w:link w:val="a4"/>
    <w:uiPriority w:val="99"/>
    <w:qFormat/>
    <w:rsid w:val="008C5887"/>
    <w:pPr>
      <w:ind w:left="720"/>
      <w:contextualSpacing/>
    </w:pPr>
    <w:rPr>
      <w:rFonts w:eastAsiaTheme="minorEastAsia"/>
      <w:lang w:val="en-US"/>
    </w:rPr>
  </w:style>
  <w:style w:type="table" w:styleId="a5">
    <w:name w:val="Table Grid"/>
    <w:basedOn w:val="a1"/>
    <w:rsid w:val="008C5887"/>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HotarirePunct1 Знак,List Paragraph1 Знак,List Paragraph 1 Знак"/>
    <w:link w:val="a3"/>
    <w:uiPriority w:val="99"/>
    <w:locked/>
    <w:rsid w:val="008C5887"/>
    <w:rPr>
      <w:rFonts w:eastAsiaTheme="minorEastAsia"/>
      <w:lang w:val="en-US"/>
    </w:rPr>
  </w:style>
  <w:style w:type="character" w:styleId="a6">
    <w:name w:val="Hyperlink"/>
    <w:basedOn w:val="a0"/>
    <w:uiPriority w:val="99"/>
    <w:unhideWhenUsed/>
    <w:rsid w:val="008C5887"/>
    <w:rPr>
      <w:color w:val="0000FF" w:themeColor="hyperlink"/>
      <w:u w:val="single"/>
    </w:rPr>
  </w:style>
  <w:style w:type="character" w:customStyle="1" w:styleId="docbody">
    <w:name w:val="doc_body"/>
    <w:basedOn w:val="a0"/>
    <w:rsid w:val="008C5887"/>
  </w:style>
  <w:style w:type="character" w:customStyle="1" w:styleId="fontstyle01">
    <w:name w:val="fontstyle01"/>
    <w:basedOn w:val="a0"/>
    <w:rsid w:val="008C5887"/>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C5887"/>
    <w:rPr>
      <w:rFonts w:ascii="Times New Roman" w:hAnsi="Times New Roman" w:cs="Times New Roman" w:hint="default"/>
      <w:b/>
      <w:bCs/>
      <w:i w:val="0"/>
      <w:iCs w:val="0"/>
      <w:color w:val="000000"/>
      <w:sz w:val="24"/>
      <w:szCs w:val="24"/>
    </w:rPr>
  </w:style>
  <w:style w:type="paragraph" w:styleId="a7">
    <w:name w:val="Normal (Web)"/>
    <w:basedOn w:val="a"/>
    <w:rsid w:val="008C5887"/>
    <w:pPr>
      <w:spacing w:after="0" w:line="240" w:lineRule="auto"/>
      <w:ind w:firstLine="567"/>
      <w:jc w:val="both"/>
    </w:pPr>
    <w:rPr>
      <w:rFonts w:ascii="Times New Roman" w:eastAsia="Times New Roman" w:hAnsi="Times New Roman" w:cs="Times New Roman"/>
      <w:sz w:val="24"/>
      <w:szCs w:val="24"/>
      <w:lang w:eastAsia="ru-RU"/>
    </w:rPr>
  </w:style>
  <w:style w:type="character" w:styleId="a8">
    <w:name w:val="Emphasis"/>
    <w:basedOn w:val="a0"/>
    <w:uiPriority w:val="20"/>
    <w:qFormat/>
    <w:rsid w:val="008C58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C5887"/>
  </w:style>
  <w:style w:type="paragraph" w:styleId="a3">
    <w:name w:val="List Paragraph"/>
    <w:aliases w:val="HotarirePunct1,List Paragraph1,List Paragraph 1"/>
    <w:basedOn w:val="a"/>
    <w:link w:val="a4"/>
    <w:uiPriority w:val="99"/>
    <w:qFormat/>
    <w:rsid w:val="008C5887"/>
    <w:pPr>
      <w:ind w:left="720"/>
      <w:contextualSpacing/>
    </w:pPr>
    <w:rPr>
      <w:rFonts w:eastAsiaTheme="minorEastAsia"/>
      <w:lang w:val="en-US"/>
    </w:rPr>
  </w:style>
  <w:style w:type="table" w:styleId="a5">
    <w:name w:val="Table Grid"/>
    <w:basedOn w:val="a1"/>
    <w:rsid w:val="008C5887"/>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HotarirePunct1 Знак,List Paragraph1 Знак,List Paragraph 1 Знак"/>
    <w:link w:val="a3"/>
    <w:uiPriority w:val="99"/>
    <w:locked/>
    <w:rsid w:val="008C5887"/>
    <w:rPr>
      <w:rFonts w:eastAsiaTheme="minorEastAsia"/>
      <w:lang w:val="en-US"/>
    </w:rPr>
  </w:style>
  <w:style w:type="character" w:styleId="a6">
    <w:name w:val="Hyperlink"/>
    <w:basedOn w:val="a0"/>
    <w:uiPriority w:val="99"/>
    <w:unhideWhenUsed/>
    <w:rsid w:val="008C5887"/>
    <w:rPr>
      <w:color w:val="0000FF" w:themeColor="hyperlink"/>
      <w:u w:val="single"/>
    </w:rPr>
  </w:style>
  <w:style w:type="character" w:customStyle="1" w:styleId="docbody">
    <w:name w:val="doc_body"/>
    <w:basedOn w:val="a0"/>
    <w:rsid w:val="008C5887"/>
  </w:style>
  <w:style w:type="character" w:customStyle="1" w:styleId="fontstyle01">
    <w:name w:val="fontstyle01"/>
    <w:basedOn w:val="a0"/>
    <w:rsid w:val="008C5887"/>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C5887"/>
    <w:rPr>
      <w:rFonts w:ascii="Times New Roman" w:hAnsi="Times New Roman" w:cs="Times New Roman" w:hint="default"/>
      <w:b/>
      <w:bCs/>
      <w:i w:val="0"/>
      <w:iCs w:val="0"/>
      <w:color w:val="000000"/>
      <w:sz w:val="24"/>
      <w:szCs w:val="24"/>
    </w:rPr>
  </w:style>
  <w:style w:type="paragraph" w:styleId="a7">
    <w:name w:val="Normal (Web)"/>
    <w:basedOn w:val="a"/>
    <w:rsid w:val="008C5887"/>
    <w:pPr>
      <w:spacing w:after="0" w:line="240" w:lineRule="auto"/>
      <w:ind w:firstLine="567"/>
      <w:jc w:val="both"/>
    </w:pPr>
    <w:rPr>
      <w:rFonts w:ascii="Times New Roman" w:eastAsia="Times New Roman" w:hAnsi="Times New Roman" w:cs="Times New Roman"/>
      <w:sz w:val="24"/>
      <w:szCs w:val="24"/>
      <w:lang w:eastAsia="ru-RU"/>
    </w:rPr>
  </w:style>
  <w:style w:type="character" w:styleId="a8">
    <w:name w:val="Emphasis"/>
    <w:basedOn w:val="a0"/>
    <w:uiPriority w:val="20"/>
    <w:qFormat/>
    <w:rsid w:val="008C5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md/cautare/getResults?doc_id=125269&amp;lang=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8286</Words>
  <Characters>47236</Characters>
  <Application>Microsoft Office Word</Application>
  <DocSecurity>0</DocSecurity>
  <Lines>393</Lines>
  <Paragraphs>110</Paragraphs>
  <ScaleCrop>false</ScaleCrop>
  <Company>SPecialiST RePack</Company>
  <LinksUpToDate>false</LinksUpToDate>
  <CharactersWithSpaces>55412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2023-08-11T07:24:00Z</dcterms:created>
  <dcterms:modified xsi:type="dcterms:W3CDTF">2023-08-11T07:24:00Z</dcterms:modified>
</cp:coreProperties>
</file>