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center"/>
        <w:rPr>
          <w:rFonts w:ascii="Times New Roman" w:hAnsi="Times New Roman" w:cs="Times New Roman"/>
          <w:sz w:val="16"/>
          <w:szCs w:val="16"/>
          <w:lang w:val="en-US"/>
        </w:rPr>
      </w:pPr>
      <w:r>
        <w:rPr>
          <w:lang w:val="ru-RU" w:eastAsia="ru-RU"/>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19050" t="0" r="1270" b="6985"/>
            <wp:wrapNone/>
            <wp:docPr id="9"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lang w:val="ru-RU" w:eastAsia="ru-RU"/>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19050" t="0" r="0" b="0"/>
            <wp:wrapNone/>
            <wp:docPr id="10"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16"/>
          <w:szCs w:val="16"/>
          <w:lang w:val="en-US"/>
        </w:rPr>
        <w:t xml:space="preserve">                                                                                                                                                                    </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REPUBLICA MOLDOVA</w:t>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sz w:val="24"/>
          <w:szCs w:val="24"/>
          <w:lang w:val="en-US"/>
        </w:rPr>
        <w:t>Primaria.Grozesti@gmail.com</w:t>
      </w:r>
      <w:r>
        <w:rPr>
          <w:rStyle w:val="4"/>
          <w:rFonts w:ascii="Times New Roman" w:hAnsi="Times New Roman" w:cs="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spacing w:after="0" w:line="240" w:lineRule="auto"/>
        <w:jc w:val="center"/>
        <w:rPr>
          <w:rFonts w:asciiTheme="majorHAnsi" w:hAnsiTheme="majorHAnsi"/>
          <w:b/>
          <w:color w:val="000000" w:themeColor="text1"/>
          <w:sz w:val="20"/>
          <w:szCs w:val="20"/>
        </w:rPr>
      </w:pPr>
      <w:r>
        <w:rPr>
          <w:rFonts w:asciiTheme="majorHAnsi" w:hAnsiTheme="majorHAnsi"/>
          <w:b/>
          <w:color w:val="000000" w:themeColor="text1"/>
          <w:sz w:val="26"/>
          <w:szCs w:val="26"/>
        </w:rPr>
        <w:t xml:space="preserve">                                                                                                                                               </w:t>
      </w:r>
      <w:r>
        <w:rPr>
          <w:rFonts w:asciiTheme="majorHAnsi" w:hAnsiTheme="majorHAnsi"/>
          <w:b/>
          <w:color w:val="000000" w:themeColor="text1"/>
          <w:sz w:val="20"/>
          <w:szCs w:val="20"/>
        </w:rPr>
        <w:t xml:space="preserve">PROIECT                                                                         </w:t>
      </w:r>
    </w:p>
    <w:p>
      <w:pPr>
        <w:spacing w:after="0" w:line="240" w:lineRule="auto"/>
        <w:jc w:val="center"/>
        <w:rPr>
          <w:rFonts w:asciiTheme="majorHAnsi" w:hAnsiTheme="majorHAnsi"/>
          <w:b/>
          <w:color w:val="000000" w:themeColor="text1"/>
          <w:sz w:val="26"/>
          <w:szCs w:val="26"/>
        </w:rPr>
      </w:pPr>
      <w:r>
        <w:rPr>
          <w:rFonts w:asciiTheme="majorHAnsi" w:hAnsiTheme="majorHAnsi"/>
          <w:b/>
          <w:color w:val="000000" w:themeColor="text1"/>
          <w:sz w:val="26"/>
          <w:szCs w:val="26"/>
        </w:rPr>
        <w:t xml:space="preserve"> </w:t>
      </w:r>
    </w:p>
    <w:p>
      <w:pPr>
        <w:tabs>
          <w:tab w:val="left" w:pos="9356"/>
        </w:tabs>
        <w:spacing w:after="0" w:line="240" w:lineRule="auto"/>
        <w:jc w:val="center"/>
        <w:rPr>
          <w:rFonts w:asciiTheme="majorHAnsi" w:hAnsiTheme="majorHAnsi"/>
          <w:b/>
          <w:sz w:val="26"/>
          <w:szCs w:val="26"/>
        </w:rPr>
      </w:pPr>
      <w:r>
        <w:rPr>
          <w:rFonts w:asciiTheme="majorHAnsi" w:hAnsiTheme="majorHAnsi"/>
          <w:b/>
          <w:sz w:val="26"/>
          <w:szCs w:val="26"/>
        </w:rPr>
        <w:t>DECIZIE nr.     2 / 8</w:t>
      </w:r>
    </w:p>
    <w:p>
      <w:pPr>
        <w:spacing w:after="0" w:line="240" w:lineRule="auto"/>
        <w:jc w:val="center"/>
        <w:rPr>
          <w:rFonts w:asciiTheme="majorHAnsi" w:hAnsiTheme="majorHAnsi"/>
          <w:b/>
          <w:sz w:val="16"/>
          <w:szCs w:val="16"/>
        </w:rPr>
      </w:pPr>
    </w:p>
    <w:p>
      <w:pPr>
        <w:spacing w:after="0" w:line="24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t>din  15  martie   2023                                                                                                   s. Grozești</w:t>
      </w:r>
    </w:p>
    <w:p>
      <w:pPr>
        <w:spacing w:line="240" w:lineRule="auto"/>
        <w:rPr>
          <w:rFonts w:ascii="Times New Roman" w:hAnsi="Times New Roman" w:cs="Times New Roman"/>
          <w:b/>
          <w:sz w:val="16"/>
          <w:szCs w:val="16"/>
        </w:rPr>
      </w:pPr>
    </w:p>
    <w:p>
      <w:pPr>
        <w:spacing w:after="120"/>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Pr>
          <w:rFonts w:ascii="Times New Roman" w:hAnsi="Times New Roman"/>
          <w:b/>
          <w:sz w:val="24"/>
          <w:szCs w:val="24"/>
        </w:rPr>
        <w:t xml:space="preserve"> Cu privire la repartizarea soldului disponibil la  01.01.2023. </w:t>
      </w:r>
      <w:r>
        <w:rPr>
          <w:rFonts w:ascii="Times New Roman" w:hAnsi="Times New Roman" w:cs="Times New Roman"/>
          <w:b/>
          <w:sz w:val="16"/>
          <w:szCs w:val="16"/>
          <w:lang w:val="en-US"/>
        </w:rPr>
        <w:t>”</w:t>
      </w:r>
    </w:p>
    <w:p>
      <w:pPr>
        <w:spacing w:after="0"/>
        <w:jc w:val="both"/>
        <w:rPr>
          <w:rFonts w:ascii="Times New Roman" w:hAnsi="Times New Roman"/>
          <w:sz w:val="24"/>
          <w:szCs w:val="24"/>
        </w:rPr>
      </w:pPr>
      <w:r>
        <w:rPr>
          <w:rFonts w:ascii="Times New Roman" w:hAnsi="Times New Roman"/>
          <w:b/>
          <w:sz w:val="24"/>
          <w:szCs w:val="24"/>
        </w:rPr>
        <w:t>Analiz</w:t>
      </w:r>
      <w:r>
        <w:rPr>
          <w:rFonts w:hint="default" w:ascii="Times New Roman" w:hAnsi="Times New Roman"/>
          <w:b/>
          <w:sz w:val="24"/>
          <w:szCs w:val="24"/>
          <w:lang w:val="ro-RO"/>
        </w:rPr>
        <w:t>â</w:t>
      </w:r>
      <w:r>
        <w:rPr>
          <w:rFonts w:ascii="Times New Roman" w:hAnsi="Times New Roman"/>
          <w:b/>
          <w:sz w:val="24"/>
          <w:szCs w:val="24"/>
        </w:rPr>
        <w:t>nd</w:t>
      </w:r>
      <w:r>
        <w:rPr>
          <w:rFonts w:ascii="Times New Roman" w:hAnsi="Times New Roman"/>
          <w:sz w:val="24"/>
          <w:szCs w:val="24"/>
        </w:rPr>
        <w:t xml:space="preserve">  solicitarea și actele confirmative prezentate de primarul Tofan Serghei și </w:t>
      </w:r>
    </w:p>
    <w:p>
      <w:pPr>
        <w:spacing w:after="0"/>
        <w:jc w:val="both"/>
        <w:rPr>
          <w:rFonts w:ascii="Times New Roman" w:hAnsi="Times New Roman"/>
          <w:sz w:val="24"/>
          <w:szCs w:val="24"/>
        </w:rPr>
      </w:pPr>
      <w:r>
        <w:rPr>
          <w:rFonts w:ascii="Times New Roman" w:hAnsi="Times New Roman"/>
          <w:sz w:val="24"/>
          <w:szCs w:val="24"/>
        </w:rPr>
        <w:t xml:space="preserve">              Nota informativă a contabilului-șef  privind soldul disponibil  la 01.01.2023,</w:t>
      </w:r>
    </w:p>
    <w:p>
      <w:pPr>
        <w:spacing w:after="0"/>
        <w:jc w:val="both"/>
        <w:rPr>
          <w:rFonts w:ascii="Times New Roman" w:hAnsi="Times New Roman"/>
          <w:b/>
          <w:sz w:val="24"/>
          <w:szCs w:val="24"/>
        </w:rPr>
      </w:pPr>
      <w:r>
        <w:rPr>
          <w:rFonts w:ascii="Times New Roman" w:hAnsi="Times New Roman" w:eastAsia="Times New Roman" w:cs="Times New Roman"/>
          <w:b/>
          <w:color w:val="000000" w:themeColor="text1"/>
          <w:sz w:val="24"/>
          <w:szCs w:val="24"/>
          <w:lang w:val="en-GB"/>
        </w:rPr>
        <w:t>Consult</w:t>
      </w:r>
      <w:r>
        <w:rPr>
          <w:rFonts w:hint="default" w:ascii="Times New Roman" w:hAnsi="Times New Roman" w:eastAsia="Times New Roman" w:cs="Times New Roman"/>
          <w:b/>
          <w:color w:val="000000" w:themeColor="text1"/>
          <w:sz w:val="24"/>
          <w:szCs w:val="24"/>
          <w:lang w:val="ro-RO"/>
        </w:rPr>
        <w:t>â</w:t>
      </w:r>
      <w:r>
        <w:rPr>
          <w:rFonts w:ascii="Times New Roman" w:hAnsi="Times New Roman" w:eastAsia="Times New Roman" w:cs="Times New Roman"/>
          <w:b/>
          <w:color w:val="000000" w:themeColor="text1"/>
          <w:sz w:val="24"/>
          <w:szCs w:val="24"/>
          <w:lang w:val="en-GB"/>
        </w:rPr>
        <w:t>nd</w:t>
      </w:r>
      <w:r>
        <w:rPr>
          <w:rFonts w:ascii="Times New Roman" w:hAnsi="Times New Roman" w:eastAsia="Times New Roman" w:cs="Times New Roman"/>
          <w:color w:val="FF0000"/>
          <w:sz w:val="24"/>
          <w:szCs w:val="24"/>
          <w:lang w:val="en-GB"/>
        </w:rPr>
        <w:t xml:space="preserve">  </w:t>
      </w:r>
      <w:r>
        <w:rPr>
          <w:rFonts w:ascii="Times New Roman" w:hAnsi="Times New Roman" w:eastAsia="Times New Roman" w:cs="Times New Roman"/>
          <w:color w:val="000000" w:themeColor="text1"/>
          <w:sz w:val="24"/>
          <w:szCs w:val="24"/>
          <w:lang w:val="en-GB"/>
        </w:rPr>
        <w:t>av</w:t>
      </w:r>
      <w:r>
        <w:rPr>
          <w:rFonts w:ascii="Times New Roman" w:hAnsi="Times New Roman" w:eastAsia="Times New Roman" w:cs="Times New Roman"/>
          <w:sz w:val="24"/>
          <w:szCs w:val="24"/>
          <w:lang w:val="en-GB"/>
        </w:rPr>
        <w:t xml:space="preserve">izul pozitiv comisiei  pentru  </w:t>
      </w:r>
      <w:r>
        <w:rPr>
          <w:rFonts w:ascii="Times New Roman" w:hAnsi="Times New Roman" w:cs="Times New Roman"/>
          <w:sz w:val="24"/>
          <w:szCs w:val="24"/>
        </w:rPr>
        <w:t xml:space="preserve"> buget, economie, finanțe  și  patrimoniul public</w:t>
      </w:r>
      <w:r>
        <w:rPr>
          <w:rFonts w:ascii="Times New Roman" w:hAnsi="Times New Roman" w:eastAsia="Times New Roman" w:cs="Times New Roman"/>
          <w:sz w:val="24"/>
          <w:szCs w:val="24"/>
          <w:lang w:val="en-GB"/>
        </w:rPr>
        <w:t xml:space="preserve">,  </w:t>
      </w:r>
    </w:p>
    <w:p>
      <w:pPr>
        <w:spacing w:after="0"/>
        <w:jc w:val="both"/>
        <w:rPr>
          <w:rFonts w:ascii="Times New Roman" w:hAnsi="Times New Roman" w:eastAsia="Times New Roman" w:cs="Times New Roman"/>
          <w:b/>
          <w:sz w:val="24"/>
          <w:szCs w:val="24"/>
          <w:lang w:val="en-US"/>
        </w:rPr>
      </w:pPr>
      <w:r>
        <w:rPr>
          <w:rFonts w:ascii="Times New Roman" w:hAnsi="Times New Roman"/>
          <w:b/>
          <w:sz w:val="24"/>
          <w:szCs w:val="24"/>
        </w:rPr>
        <w:t xml:space="preserve"> Î</w:t>
      </w:r>
      <w:r>
        <w:rPr>
          <w:rFonts w:ascii="Times New Roman" w:hAnsi="Times New Roman" w:eastAsia="Times New Roman" w:cs="Times New Roman"/>
          <w:b/>
          <w:sz w:val="24"/>
          <w:szCs w:val="24"/>
          <w:lang w:val="en-US"/>
        </w:rPr>
        <w:t>n conformitate  cu:</w:t>
      </w:r>
    </w:p>
    <w:p>
      <w:pPr>
        <w:pStyle w:val="7"/>
        <w:numPr>
          <w:ilvl w:val="0"/>
          <w:numId w:val="1"/>
        </w:numPr>
        <w:tabs>
          <w:tab w:val="left" w:pos="142"/>
        </w:tabs>
        <w:spacing w:after="0"/>
        <w:ind w:left="0" w:firstLine="0"/>
        <w:jc w:val="both"/>
        <w:rPr>
          <w:color w:val="000000" w:themeColor="text1"/>
        </w:rPr>
      </w:pPr>
      <w:r>
        <w:rPr>
          <w:rFonts w:ascii="Times New Roman" w:hAnsi="Times New Roman"/>
          <w:sz w:val="24"/>
          <w:szCs w:val="24"/>
        </w:rPr>
        <w:t>Legea  privind  administraţia publică locală nr. 436- XVI</w:t>
      </w:r>
      <w:r>
        <w:rPr>
          <w:rFonts w:ascii="Times New Roman" w:hAnsi="Times New Roman"/>
          <w:sz w:val="24"/>
          <w:szCs w:val="24"/>
          <w:lang w:val="en-GB"/>
        </w:rPr>
        <w:t xml:space="preserve">   din  28. 12. 2006,</w:t>
      </w:r>
    </w:p>
    <w:p>
      <w:pPr>
        <w:pStyle w:val="7"/>
        <w:numPr>
          <w:ilvl w:val="0"/>
          <w:numId w:val="1"/>
        </w:numPr>
        <w:tabs>
          <w:tab w:val="left" w:pos="142"/>
        </w:tabs>
        <w:spacing w:after="0"/>
        <w:ind w:left="0" w:firstLine="0"/>
        <w:jc w:val="both"/>
        <w:rPr>
          <w:color w:val="000000" w:themeColor="text1"/>
        </w:rPr>
      </w:pPr>
      <w:r>
        <w:rPr>
          <w:rFonts w:ascii="Times New Roman" w:hAnsi="Times New Roman"/>
          <w:kern w:val="32"/>
          <w:sz w:val="24"/>
          <w:szCs w:val="24"/>
        </w:rPr>
        <w:t>Legea  privind finanţele publice locale nr.397–XV din 16.10.03</w:t>
      </w:r>
      <w:r>
        <w:rPr>
          <w:rFonts w:ascii="Times New Roman" w:hAnsi="Times New Roman"/>
          <w:sz w:val="24"/>
          <w:szCs w:val="24"/>
        </w:rPr>
        <w:t>,</w:t>
      </w:r>
    </w:p>
    <w:p>
      <w:pPr>
        <w:pStyle w:val="7"/>
        <w:numPr>
          <w:ilvl w:val="0"/>
          <w:numId w:val="1"/>
        </w:numPr>
        <w:tabs>
          <w:tab w:val="left" w:pos="142"/>
        </w:tabs>
        <w:spacing w:after="0"/>
        <w:ind w:left="0" w:firstLine="0"/>
        <w:jc w:val="both"/>
        <w:rPr>
          <w:color w:val="000000" w:themeColor="text1"/>
        </w:rPr>
      </w:pPr>
      <w:r>
        <w:rPr>
          <w:rFonts w:ascii="Times New Roman" w:hAnsi="Times New Roman"/>
          <w:sz w:val="24"/>
          <w:szCs w:val="24"/>
        </w:rPr>
        <w:t xml:space="preserve">Legea </w:t>
      </w:r>
      <w:r>
        <w:rPr>
          <w:rFonts w:ascii="Times New Roman" w:hAnsi="Times New Roman"/>
          <w:bCs/>
          <w:sz w:val="24"/>
          <w:szCs w:val="24"/>
        </w:rPr>
        <w:t>f</w:t>
      </w:r>
      <w:r>
        <w:rPr>
          <w:rStyle w:val="6"/>
          <w:rFonts w:ascii="Times New Roman" w:hAnsi="Times New Roman"/>
          <w:bCs/>
          <w:sz w:val="24"/>
          <w:szCs w:val="24"/>
        </w:rPr>
        <w:t xml:space="preserve">inanţelor publice şi responsabilităţii bugetar-fiscale </w:t>
      </w:r>
      <w:r>
        <w:rPr>
          <w:rFonts w:ascii="Times New Roman" w:hAnsi="Times New Roman"/>
          <w:sz w:val="24"/>
          <w:szCs w:val="24"/>
        </w:rPr>
        <w:t>nr.181 din 25.07.2014,</w:t>
      </w:r>
    </w:p>
    <w:p>
      <w:pPr>
        <w:pStyle w:val="7"/>
        <w:numPr>
          <w:ilvl w:val="0"/>
          <w:numId w:val="1"/>
        </w:numPr>
        <w:tabs>
          <w:tab w:val="left" w:pos="142"/>
        </w:tabs>
        <w:spacing w:after="0"/>
        <w:ind w:left="0" w:firstLine="0"/>
        <w:jc w:val="both"/>
        <w:rPr>
          <w:color w:val="000000" w:themeColor="text1"/>
        </w:rPr>
      </w:pPr>
      <w:r>
        <w:rPr>
          <w:rFonts w:ascii="Times New Roman" w:hAnsi="Times New Roman"/>
          <w:sz w:val="24"/>
          <w:szCs w:val="24"/>
        </w:rPr>
        <w:t>Bugetul local  pentru  anul  2023, aprobat  prin  Decizia  nr. 4/12 din 06.12.2022.</w:t>
      </w:r>
    </w:p>
    <w:p>
      <w:pPr>
        <w:pStyle w:val="7"/>
        <w:tabs>
          <w:tab w:val="left" w:pos="142"/>
        </w:tabs>
        <w:spacing w:after="0"/>
        <w:ind w:left="0"/>
        <w:jc w:val="both"/>
        <w:rPr>
          <w:rFonts w:ascii="Times New Roman" w:hAnsi="Times New Roman"/>
          <w:sz w:val="24"/>
          <w:szCs w:val="24"/>
          <w:lang w:val="en-GB"/>
        </w:rPr>
      </w:pPr>
      <w:r>
        <w:rPr>
          <w:rFonts w:ascii="Times New Roman" w:hAnsi="Times New Roman"/>
          <w:b/>
          <w:sz w:val="24"/>
          <w:szCs w:val="24"/>
          <w:lang w:val="en-GB"/>
        </w:rPr>
        <w:t xml:space="preserve">Consiliul  local Grozești, </w:t>
      </w:r>
      <w:r>
        <w:rPr>
          <w:rFonts w:ascii="Times New Roman" w:hAnsi="Times New Roman"/>
          <w:sz w:val="24"/>
          <w:szCs w:val="24"/>
          <w:lang w:val="en-GB"/>
        </w:rPr>
        <w:t xml:space="preserve">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en-GB"/>
        </w:rPr>
        <w:t xml:space="preserve">                                                                       </w:t>
      </w:r>
      <w:r>
        <w:rPr>
          <w:rFonts w:ascii="Times New Roman" w:hAnsi="Times New Roman" w:eastAsia="Times New Roman" w:cs="Times New Roman"/>
          <w:b/>
          <w:sz w:val="24"/>
          <w:szCs w:val="24"/>
        </w:rPr>
        <w:t>DECIDE:</w:t>
      </w:r>
    </w:p>
    <w:p>
      <w:pPr>
        <w:spacing w:after="0"/>
        <w:ind w:left="1080"/>
        <w:jc w:val="center"/>
        <w:rPr>
          <w:rFonts w:ascii="Times New Roman" w:hAnsi="Times New Roman" w:eastAsia="Times New Roman" w:cs="Times New Roman"/>
          <w:b/>
          <w:sz w:val="16"/>
          <w:szCs w:val="16"/>
        </w:rPr>
      </w:pPr>
    </w:p>
    <w:p>
      <w:pPr>
        <w:pStyle w:val="7"/>
        <w:numPr>
          <w:ilvl w:val="0"/>
          <w:numId w:val="2"/>
        </w:numPr>
        <w:spacing w:after="0" w:line="360" w:lineRule="auto"/>
        <w:ind w:right="-426"/>
        <w:rPr>
          <w:rFonts w:ascii="Times New Roman" w:hAnsi="Times New Roman"/>
          <w:sz w:val="24"/>
          <w:szCs w:val="24"/>
        </w:rPr>
      </w:pPr>
      <w:r>
        <w:rPr>
          <w:rFonts w:ascii="Times New Roman" w:hAnsi="Times New Roman"/>
          <w:sz w:val="24"/>
          <w:szCs w:val="24"/>
        </w:rPr>
        <w:t xml:space="preserve">Se aprobă repartizarea soldului disponibil la 01.01.2023, </w:t>
      </w:r>
      <w:r>
        <w:rPr>
          <w:rFonts w:ascii="Times New Roman" w:hAnsi="Times New Roman"/>
          <w:color w:val="000000" w:themeColor="text1"/>
          <w:sz w:val="24"/>
          <w:szCs w:val="24"/>
        </w:rPr>
        <w:t>conform actelor  anexate :</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top w:val="single" w:color="auto" w:sz="18" w:space="0"/>
              <w:left w:val="single" w:color="auto" w:sz="18" w:space="0"/>
              <w:bottom w:val="single" w:color="auto" w:sz="18" w:space="0"/>
            </w:tcBorders>
          </w:tcPr>
          <w:p>
            <w:pPr>
              <w:pStyle w:val="7"/>
              <w:spacing w:after="0" w:line="240" w:lineRule="auto"/>
              <w:ind w:left="0" w:right="-426"/>
              <w:jc w:val="center"/>
              <w:rPr>
                <w:rFonts w:ascii="Times New Roman" w:hAnsi="Times New Roman"/>
                <w:b/>
                <w:sz w:val="24"/>
                <w:szCs w:val="24"/>
              </w:rPr>
            </w:pPr>
            <w:r>
              <w:rPr>
                <w:rFonts w:ascii="Times New Roman" w:hAnsi="Times New Roman"/>
                <w:b/>
                <w:sz w:val="24"/>
                <w:szCs w:val="24"/>
              </w:rPr>
              <w:t>Denumirea  / scopul</w:t>
            </w:r>
          </w:p>
        </w:tc>
        <w:tc>
          <w:tcPr>
            <w:tcW w:w="3969" w:type="dxa"/>
            <w:tcBorders>
              <w:top w:val="single" w:color="auto" w:sz="18" w:space="0"/>
              <w:bottom w:val="single" w:color="auto" w:sz="18" w:space="0"/>
              <w:right w:val="single" w:color="auto" w:sz="18" w:space="0"/>
            </w:tcBorders>
          </w:tcPr>
          <w:p>
            <w:pPr>
              <w:pStyle w:val="7"/>
              <w:spacing w:after="0" w:line="240" w:lineRule="auto"/>
              <w:ind w:left="0" w:right="-426"/>
              <w:jc w:val="center"/>
              <w:rPr>
                <w:rFonts w:ascii="Times New Roman" w:hAnsi="Times New Roman"/>
                <w:b/>
                <w:sz w:val="24"/>
                <w:szCs w:val="24"/>
              </w:rPr>
            </w:pPr>
            <w:r>
              <w:rPr>
                <w:rFonts w:ascii="Times New Roman" w:hAnsi="Times New Roman"/>
                <w:b/>
                <w:sz w:val="24"/>
                <w:szCs w:val="24"/>
              </w:rPr>
              <w:t>Suma,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670" w:type="dxa"/>
            <w:tcBorders>
              <w:left w:val="single" w:color="auto" w:sz="18" w:space="0"/>
            </w:tcBorders>
          </w:tcPr>
          <w:p>
            <w:pPr>
              <w:pStyle w:val="7"/>
              <w:spacing w:after="0" w:line="240" w:lineRule="auto"/>
              <w:ind w:left="0" w:right="-108"/>
              <w:rPr>
                <w:rFonts w:ascii="Times New Roman" w:hAnsi="Times New Roman"/>
                <w:sz w:val="24"/>
                <w:szCs w:val="24"/>
                <w:lang w:val="ro-RO"/>
              </w:rPr>
            </w:pPr>
            <w:r>
              <w:rPr>
                <w:rFonts w:ascii="Times New Roman" w:hAnsi="Times New Roman"/>
                <w:sz w:val="24"/>
                <w:szCs w:val="24"/>
                <w:lang w:val="ro-RO"/>
              </w:rPr>
              <w:t>Reparaţii capitale ale construcţiilor speciale,</w:t>
            </w:r>
          </w:p>
          <w:p>
            <w:pPr>
              <w:pStyle w:val="7"/>
              <w:spacing w:after="0" w:line="240" w:lineRule="auto"/>
              <w:ind w:left="0" w:right="-108"/>
              <w:rPr>
                <w:rFonts w:ascii="Times New Roman" w:hAnsi="Times New Roman"/>
                <w:sz w:val="24"/>
                <w:szCs w:val="24"/>
                <w:lang w:val="ro-RO"/>
              </w:rPr>
            </w:pPr>
            <w:r>
              <w:rPr>
                <w:rFonts w:ascii="Times New Roman" w:hAnsi="Times New Roman"/>
                <w:sz w:val="24"/>
                <w:szCs w:val="24"/>
                <w:lang w:val="ro-RO"/>
              </w:rPr>
              <w:t xml:space="preserve"> reparaţia drum local</w:t>
            </w:r>
          </w:p>
        </w:tc>
        <w:tc>
          <w:tcPr>
            <w:tcW w:w="3969" w:type="dxa"/>
            <w:tcBorders>
              <w:right w:val="single" w:color="auto" w:sz="18" w:space="0"/>
            </w:tcBorders>
          </w:tcPr>
          <w:p>
            <w:pPr>
              <w:pStyle w:val="7"/>
              <w:spacing w:after="0" w:line="240" w:lineRule="auto"/>
              <w:ind w:left="0" w:right="-426"/>
              <w:jc w:val="center"/>
              <w:rPr>
                <w:rFonts w:ascii="Times New Roman" w:hAnsi="Times New Roman"/>
                <w:sz w:val="24"/>
                <w:szCs w:val="24"/>
              </w:rPr>
            </w:pPr>
            <w:r>
              <w:rPr>
                <w:rFonts w:ascii="Times New Roman" w:hAnsi="Times New Roman"/>
                <w:sz w:val="24"/>
                <w:szCs w:val="24"/>
              </w:rPr>
              <w:t xml:space="preserve">300 000.00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top w:val="single" w:color="auto" w:sz="18" w:space="0"/>
              <w:left w:val="single" w:color="auto" w:sz="18" w:space="0"/>
              <w:bottom w:val="single" w:color="auto" w:sz="18" w:space="0"/>
            </w:tcBorders>
          </w:tcPr>
          <w:p>
            <w:pPr>
              <w:pStyle w:val="7"/>
              <w:spacing w:after="0" w:line="240" w:lineRule="auto"/>
              <w:ind w:left="0" w:right="-426"/>
              <w:jc w:val="center"/>
              <w:rPr>
                <w:rFonts w:ascii="Times New Roman" w:hAnsi="Times New Roman"/>
                <w:b/>
                <w:sz w:val="24"/>
                <w:szCs w:val="24"/>
              </w:rPr>
            </w:pPr>
          </w:p>
          <w:p>
            <w:pPr>
              <w:pStyle w:val="7"/>
              <w:spacing w:after="0" w:line="360" w:lineRule="auto"/>
              <w:ind w:left="0" w:right="-426"/>
              <w:jc w:val="center"/>
              <w:rPr>
                <w:rFonts w:ascii="Times New Roman" w:hAnsi="Times New Roman"/>
                <w:b/>
                <w:sz w:val="24"/>
                <w:szCs w:val="24"/>
              </w:rPr>
            </w:pPr>
            <w:r>
              <w:rPr>
                <w:rFonts w:ascii="Times New Roman" w:hAnsi="Times New Roman"/>
                <w:b/>
                <w:sz w:val="24"/>
                <w:szCs w:val="24"/>
              </w:rPr>
              <w:t>TOTAL</w:t>
            </w:r>
          </w:p>
        </w:tc>
        <w:tc>
          <w:tcPr>
            <w:tcW w:w="3969" w:type="dxa"/>
            <w:tcBorders>
              <w:top w:val="single" w:color="auto" w:sz="18" w:space="0"/>
              <w:bottom w:val="single" w:color="auto" w:sz="18" w:space="0"/>
              <w:right w:val="single" w:color="auto" w:sz="18" w:space="0"/>
            </w:tcBorders>
          </w:tcPr>
          <w:p>
            <w:pPr>
              <w:pStyle w:val="7"/>
              <w:spacing w:after="0" w:line="276" w:lineRule="auto"/>
              <w:ind w:left="0" w:right="-426"/>
              <w:jc w:val="center"/>
              <w:rPr>
                <w:rFonts w:ascii="Times New Roman" w:hAnsi="Times New Roman"/>
                <w:b/>
                <w:sz w:val="24"/>
                <w:szCs w:val="24"/>
              </w:rPr>
            </w:pPr>
            <w:r>
              <w:rPr>
                <w:rFonts w:ascii="Times New Roman" w:hAnsi="Times New Roman"/>
                <w:b/>
                <w:sz w:val="24"/>
                <w:szCs w:val="24"/>
              </w:rPr>
              <w:t>300 000.00  lei</w:t>
            </w:r>
          </w:p>
          <w:p>
            <w:pPr>
              <w:pStyle w:val="7"/>
              <w:spacing w:after="0" w:line="240" w:lineRule="auto"/>
              <w:ind w:left="0" w:right="-108" w:hanging="108"/>
              <w:jc w:val="center"/>
              <w:rPr>
                <w:rFonts w:ascii="Times New Roman" w:hAnsi="Times New Roman"/>
                <w:b/>
                <w:sz w:val="24"/>
                <w:szCs w:val="24"/>
              </w:rPr>
            </w:pPr>
            <w:r>
              <w:rPr>
                <w:rFonts w:ascii="Times New Roman" w:hAnsi="Times New Roman"/>
                <w:b/>
              </w:rPr>
              <w:t xml:space="preserve">     (Trei sute mii</w:t>
            </w:r>
            <w:r>
              <w:rPr>
                <w:rFonts w:ascii="Times New Roman" w:hAnsi="Times New Roman"/>
                <w:b/>
                <w:sz w:val="24"/>
                <w:szCs w:val="24"/>
              </w:rPr>
              <w:t xml:space="preserve"> lei)</w:t>
            </w:r>
          </w:p>
        </w:tc>
      </w:tr>
    </w:tbl>
    <w:p>
      <w:pPr>
        <w:spacing w:after="0" w:line="240" w:lineRule="auto"/>
        <w:ind w:right="-426"/>
        <w:rPr>
          <w:rFonts w:ascii="Times New Roman" w:hAnsi="Times New Roman"/>
          <w:b/>
          <w:sz w:val="24"/>
          <w:szCs w:val="24"/>
        </w:rPr>
      </w:pPr>
    </w:p>
    <w:p>
      <w:pPr>
        <w:spacing w:after="0" w:line="360" w:lineRule="auto"/>
        <w:ind w:right="-426"/>
        <w:rPr>
          <w:rFonts w:ascii="Times New Roman" w:hAnsi="Times New Roman"/>
          <w:b/>
          <w:sz w:val="24"/>
          <w:szCs w:val="24"/>
        </w:rPr>
      </w:pPr>
      <w:r>
        <w:rPr>
          <w:rFonts w:ascii="Times New Roman" w:hAnsi="Times New Roman"/>
          <w:b/>
          <w:sz w:val="24"/>
          <w:szCs w:val="24"/>
        </w:rPr>
        <w:t>1.1</w:t>
      </w:r>
      <w:r>
        <w:rPr>
          <w:rFonts w:ascii="Times New Roman" w:hAnsi="Times New Roman"/>
          <w:sz w:val="24"/>
          <w:szCs w:val="24"/>
        </w:rPr>
        <w:t>. Mijloacele financiare vor fi  alocate, după cum urmează:</w:t>
      </w:r>
      <w:r>
        <w:rPr>
          <w:rFonts w:ascii="Times New Roman" w:hAnsi="Times New Roman"/>
          <w:b/>
          <w:sz w:val="24"/>
          <w:szCs w:val="24"/>
        </w:rPr>
        <w:t xml:space="preserve"> </w:t>
      </w:r>
    </w:p>
    <w:tbl>
      <w:tblPr>
        <w:tblStyle w:val="5"/>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551"/>
        <w:gridCol w:w="993"/>
        <w:gridCol w:w="1424"/>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single" w:color="auto" w:sz="18" w:space="0"/>
              <w:left w:val="single" w:color="auto" w:sz="18" w:space="0"/>
              <w:bottom w:val="thinThickSmallGap" w:color="auto" w:sz="24" w:space="0"/>
            </w:tcBorders>
          </w:tcPr>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Institutia bugetara –ORG 1 Primăria  Grozeşti</w:t>
            </w:r>
          </w:p>
        </w:tc>
        <w:tc>
          <w:tcPr>
            <w:tcW w:w="2551" w:type="dxa"/>
            <w:tcBorders>
              <w:top w:val="single" w:color="auto" w:sz="18" w:space="0"/>
              <w:bottom w:val="thinThickSmallGap" w:color="auto" w:sz="24" w:space="0"/>
            </w:tcBorders>
          </w:tcPr>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Denumirea conturilor</w:t>
            </w:r>
          </w:p>
        </w:tc>
        <w:tc>
          <w:tcPr>
            <w:tcW w:w="993" w:type="dxa"/>
            <w:tcBorders>
              <w:top w:val="single" w:color="auto" w:sz="18" w:space="0"/>
              <w:bottom w:val="thinThickSmallGap" w:color="auto" w:sz="24" w:space="0"/>
            </w:tcBorders>
          </w:tcPr>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COD  </w:t>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ECO 6</w:t>
            </w:r>
          </w:p>
        </w:tc>
        <w:tc>
          <w:tcPr>
            <w:tcW w:w="1424" w:type="dxa"/>
            <w:tcBorders>
              <w:top w:val="single" w:color="auto" w:sz="18" w:space="0"/>
              <w:bottom w:val="thinThickSmallGap" w:color="auto" w:sz="24" w:space="0"/>
            </w:tcBorders>
          </w:tcPr>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SUMA</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lei</w:t>
            </w:r>
          </w:p>
        </w:tc>
        <w:tc>
          <w:tcPr>
            <w:tcW w:w="2403" w:type="dxa"/>
            <w:tcBorders>
              <w:top w:val="single" w:color="auto" w:sz="18" w:space="0"/>
              <w:bottom w:val="thinThickSmallGap" w:color="auto" w:sz="24" w:space="0"/>
              <w:right w:val="single" w:color="auto" w:sz="18" w:space="0"/>
            </w:tcBorders>
          </w:tcPr>
          <w:p>
            <w:pPr>
              <w:spacing w:after="0" w:line="240" w:lineRule="auto"/>
              <w:jc w:val="center"/>
              <w:rPr>
                <w:rFonts w:ascii="Times New Roman" w:hAnsi="Times New Roman" w:eastAsia="Times New Roman" w:cs="Times New Roman"/>
                <w:b/>
                <w:color w:val="000000" w:themeColor="text1"/>
                <w:sz w:val="24"/>
                <w:szCs w:val="24"/>
                <w:lang w:val="en-US"/>
              </w:rPr>
            </w:pPr>
            <w:r>
              <w:rPr>
                <w:rFonts w:ascii="Times New Roman" w:hAnsi="Times New Roman" w:eastAsia="Times New Roman" w:cs="Times New Roman"/>
                <w:b/>
                <w:color w:val="000000" w:themeColor="text1"/>
                <w:sz w:val="24"/>
                <w:szCs w:val="24"/>
                <w:lang w:val="en-US"/>
              </w:rPr>
              <w:t>Actele</w:t>
            </w:r>
          </w:p>
          <w:p>
            <w:pPr>
              <w:spacing w:after="0" w:line="240" w:lineRule="auto"/>
              <w:jc w:val="center"/>
              <w:rPr>
                <w:rFonts w:ascii="Times New Roman" w:hAnsi="Times New Roman" w:cs="Times New Roman"/>
                <w:sz w:val="24"/>
                <w:szCs w:val="24"/>
                <w:lang w:val="en-US"/>
              </w:rPr>
            </w:pPr>
            <w:r>
              <w:rPr>
                <w:rFonts w:ascii="Times New Roman" w:hAnsi="Times New Roman" w:eastAsia="Times New Roman" w:cs="Times New Roman"/>
                <w:b/>
                <w:color w:val="000000" w:themeColor="text1"/>
                <w:sz w:val="24"/>
                <w:szCs w:val="24"/>
                <w:lang w:val="en-US"/>
              </w:rPr>
              <w:t>anexate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8" w:type="dxa"/>
            <w:gridSpan w:val="5"/>
            <w:tcBorders>
              <w:top w:val="thinThickSmallGap" w:color="auto" w:sz="24" w:space="0"/>
              <w:left w:val="single" w:color="auto" w:sz="18" w:space="0"/>
              <w:right w:val="single" w:color="auto" w:sz="18" w:space="0"/>
            </w:tcBorders>
          </w:tcPr>
          <w:p>
            <w:pPr>
              <w:spacing w:after="0" w:line="240" w:lineRule="auto"/>
              <w:jc w:val="center"/>
              <w:rPr>
                <w:rFonts w:ascii="Times New Roman" w:hAnsi="Times New Roman" w:cs="Times New Roman"/>
                <w:b/>
                <w:i/>
                <w:sz w:val="24"/>
                <w:szCs w:val="24"/>
                <w:lang w:val="en-US"/>
              </w:rPr>
            </w:pPr>
            <w:r>
              <w:rPr>
                <w:rFonts w:ascii="Times New Roman" w:hAnsi="Times New Roman" w:cs="Times New Roman"/>
                <w:b/>
                <w:i/>
                <w:color w:val="000000" w:themeColor="text1"/>
                <w:sz w:val="24"/>
                <w:szCs w:val="24"/>
                <w:lang w:val="en-US"/>
              </w:rPr>
              <w:t>ORG 2  - 11129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27" w:type="dxa"/>
            <w:tcBorders>
              <w:top w:val="thinThickSmallGap" w:color="auto" w:sz="24" w:space="0"/>
              <w:left w:val="single" w:color="auto" w:sz="18" w:space="0"/>
              <w:bottom w:val="single" w:color="auto" w:sz="4" w:space="0"/>
            </w:tcBorders>
          </w:tcPr>
          <w:p>
            <w:pPr>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Kd_ functiei   </w:t>
            </w:r>
            <w:r>
              <w:rPr>
                <w:rFonts w:ascii="Times New Roman" w:hAnsi="Times New Roman" w:cs="Times New Roman"/>
                <w:b/>
                <w:sz w:val="24"/>
                <w:szCs w:val="24"/>
                <w:lang w:val="en-US"/>
              </w:rPr>
              <w:t>0451</w:t>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Kd_programului  </w:t>
            </w:r>
            <w:r>
              <w:rPr>
                <w:rFonts w:ascii="Times New Roman" w:hAnsi="Times New Roman" w:cs="Times New Roman"/>
                <w:b/>
                <w:sz w:val="24"/>
                <w:szCs w:val="24"/>
                <w:lang w:val="en-US"/>
              </w:rPr>
              <w:t>6402</w:t>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K_activitate   00395</w:t>
            </w:r>
          </w:p>
        </w:tc>
        <w:tc>
          <w:tcPr>
            <w:tcW w:w="2551" w:type="dxa"/>
            <w:tcBorders>
              <w:top w:val="thinThickSmallGap" w:color="auto" w:sz="24" w:space="0"/>
              <w:bottom w:val="single" w:color="auto" w:sz="4" w:space="0"/>
            </w:tcBorders>
          </w:tcPr>
          <w:p>
            <w:pPr>
              <w:spacing w:after="0" w:line="240" w:lineRule="auto"/>
              <w:rPr>
                <w:rFonts w:ascii="Times New Roman" w:hAnsi="Times New Roman"/>
                <w:sz w:val="24"/>
                <w:szCs w:val="24"/>
                <w:lang w:val="en-US"/>
              </w:rPr>
            </w:pPr>
            <w:r>
              <w:rPr>
                <w:rFonts w:ascii="Times New Roman" w:hAnsi="Times New Roman"/>
                <w:sz w:val="24"/>
                <w:szCs w:val="24"/>
                <w:lang w:val="ro-RO"/>
              </w:rPr>
              <w:t>Reparaţii capitale ale construcţiilor speciale</w:t>
            </w:r>
          </w:p>
        </w:tc>
        <w:tc>
          <w:tcPr>
            <w:tcW w:w="993" w:type="dxa"/>
            <w:tcBorders>
              <w:top w:val="thinThickSmallGap" w:color="auto" w:sz="24" w:space="0"/>
              <w:bottom w:val="single" w:color="auto" w:sz="4" w:space="0"/>
            </w:tcBorders>
          </w:tcPr>
          <w:p>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312120</w:t>
            </w:r>
          </w:p>
        </w:tc>
        <w:tc>
          <w:tcPr>
            <w:tcW w:w="1424" w:type="dxa"/>
            <w:tcBorders>
              <w:top w:val="thinThickSmallGap" w:color="auto" w:sz="24" w:space="0"/>
              <w:bottom w:val="single" w:color="auto" w:sz="4" w:space="0"/>
            </w:tcBorders>
          </w:tcPr>
          <w:p>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300 000,00</w:t>
            </w:r>
          </w:p>
        </w:tc>
        <w:tc>
          <w:tcPr>
            <w:tcW w:w="2403" w:type="dxa"/>
            <w:tcBorders>
              <w:top w:val="thinThickSmallGap" w:color="auto" w:sz="24" w:space="0"/>
              <w:bottom w:val="single" w:color="auto" w:sz="4" w:space="0"/>
              <w:right w:val="single" w:color="auto" w:sz="18" w:space="0"/>
            </w:tcBorders>
          </w:tcPr>
          <w:p>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Devizul de  cheltuieli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Borders>
              <w:top w:val="thinThickSmallGap" w:color="auto" w:sz="24" w:space="0"/>
              <w:left w:val="single" w:color="auto" w:sz="18" w:space="0"/>
              <w:bottom w:val="single" w:color="auto" w:sz="18" w:space="0"/>
            </w:tcBorders>
          </w:tcPr>
          <w:p>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TOTAL :</w:t>
            </w:r>
          </w:p>
        </w:tc>
        <w:tc>
          <w:tcPr>
            <w:tcW w:w="2551" w:type="dxa"/>
            <w:tcBorders>
              <w:top w:val="thinThickSmallGap" w:color="auto" w:sz="24" w:space="0"/>
              <w:bottom w:val="single" w:color="auto" w:sz="18" w:space="0"/>
            </w:tcBorders>
          </w:tcPr>
          <w:p>
            <w:pPr>
              <w:pStyle w:val="7"/>
              <w:spacing w:after="0" w:line="240" w:lineRule="auto"/>
              <w:rPr>
                <w:rFonts w:ascii="Times New Roman" w:hAnsi="Times New Roman"/>
                <w:color w:val="000000" w:themeColor="text1"/>
                <w:sz w:val="24"/>
                <w:szCs w:val="24"/>
              </w:rPr>
            </w:pPr>
          </w:p>
        </w:tc>
        <w:tc>
          <w:tcPr>
            <w:tcW w:w="993" w:type="dxa"/>
            <w:tcBorders>
              <w:top w:val="thinThickSmallGap" w:color="auto" w:sz="24" w:space="0"/>
              <w:bottom w:val="single" w:color="auto" w:sz="18" w:space="0"/>
            </w:tcBorders>
          </w:tcPr>
          <w:p>
            <w:pPr>
              <w:spacing w:after="0" w:line="240" w:lineRule="auto"/>
              <w:jc w:val="center"/>
              <w:rPr>
                <w:rFonts w:ascii="Times New Roman" w:hAnsi="Times New Roman" w:cs="Times New Roman"/>
                <w:color w:val="000000" w:themeColor="text1"/>
                <w:sz w:val="24"/>
                <w:szCs w:val="24"/>
                <w:lang w:val="en-US"/>
              </w:rPr>
            </w:pPr>
          </w:p>
        </w:tc>
        <w:tc>
          <w:tcPr>
            <w:tcW w:w="1424" w:type="dxa"/>
            <w:tcBorders>
              <w:top w:val="thinThickSmallGap" w:color="auto" w:sz="24" w:space="0"/>
              <w:bottom w:val="single" w:color="auto" w:sz="18" w:space="0"/>
            </w:tcBorders>
          </w:tcPr>
          <w:p>
            <w:pPr>
              <w:pStyle w:val="7"/>
              <w:numPr>
                <w:ilvl w:val="0"/>
                <w:numId w:val="3"/>
              </w:num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0,00</w:t>
            </w:r>
          </w:p>
        </w:tc>
        <w:tc>
          <w:tcPr>
            <w:tcW w:w="2403" w:type="dxa"/>
            <w:tcBorders>
              <w:top w:val="thinThickSmallGap" w:color="auto" w:sz="24" w:space="0"/>
              <w:bottom w:val="single" w:color="auto" w:sz="18" w:space="0"/>
              <w:right w:val="single" w:color="auto" w:sz="18" w:space="0"/>
            </w:tcBorders>
          </w:tcPr>
          <w:p>
            <w:pPr>
              <w:spacing w:after="0" w:line="240" w:lineRule="auto"/>
              <w:jc w:val="center"/>
              <w:rPr>
                <w:rFonts w:ascii="Times New Roman" w:hAnsi="Times New Roman" w:cs="Times New Roman"/>
                <w:color w:val="FF0000"/>
                <w:sz w:val="24"/>
                <w:szCs w:val="24"/>
                <w:lang w:val="en-US"/>
              </w:rPr>
            </w:pPr>
          </w:p>
        </w:tc>
      </w:tr>
    </w:tbl>
    <w:p>
      <w:pPr>
        <w:pStyle w:val="7"/>
        <w:numPr>
          <w:ilvl w:val="0"/>
          <w:numId w:val="2"/>
        </w:numPr>
        <w:spacing w:after="0" w:line="240" w:lineRule="auto"/>
        <w:ind w:left="567" w:hanging="425"/>
        <w:rPr>
          <w:rFonts w:ascii="Times New Roman" w:hAnsi="Times New Roman"/>
          <w:sz w:val="16"/>
          <w:szCs w:val="16"/>
        </w:rPr>
      </w:pPr>
      <w:r>
        <w:t xml:space="preserve"> </w:t>
      </w:r>
      <w:r>
        <w:rPr>
          <w:rFonts w:ascii="Times New Roman" w:hAnsi="Times New Roman"/>
          <w:color w:val="000000" w:themeColor="text1"/>
          <w:sz w:val="24"/>
          <w:szCs w:val="24"/>
        </w:rPr>
        <w:t>Prezenta decizie se include în Registrul de Stat al Actelor Locale, se expediază spre informare persoanelor vizate şi se plasează pe pagina oficială a Primăriei Grozeşti în reţeaua internet, WEB: Grozesti.sat.md.</w:t>
      </w:r>
    </w:p>
    <w:p>
      <w:pPr>
        <w:pStyle w:val="7"/>
        <w:numPr>
          <w:ilvl w:val="0"/>
          <w:numId w:val="2"/>
        </w:numPr>
        <w:spacing w:after="0"/>
        <w:ind w:hanging="578"/>
        <w:rPr>
          <w:rFonts w:ascii="Times New Roman" w:hAnsi="Times New Roman"/>
          <w:color w:val="000000" w:themeColor="text1"/>
          <w:sz w:val="24"/>
          <w:szCs w:val="24"/>
        </w:rPr>
      </w:pPr>
      <w:r>
        <w:rPr>
          <w:rFonts w:ascii="Times New Roman" w:hAnsi="Times New Roman"/>
          <w:color w:val="000000" w:themeColor="text1"/>
          <w:sz w:val="24"/>
          <w:szCs w:val="24"/>
        </w:rPr>
        <w:t>Responsabil pentru executarea prezentei decizii se desemnează contabilul–şef  Fonari Natalia</w:t>
      </w:r>
    </w:p>
    <w:p>
      <w:pPr>
        <w:pStyle w:val="7"/>
        <w:numPr>
          <w:ilvl w:val="0"/>
          <w:numId w:val="2"/>
        </w:numPr>
        <w:spacing w:after="0"/>
        <w:ind w:hanging="578"/>
        <w:rPr>
          <w:rFonts w:ascii="Times New Roman" w:hAnsi="Times New Roman"/>
          <w:color w:val="000000" w:themeColor="text1"/>
          <w:sz w:val="24"/>
          <w:szCs w:val="24"/>
        </w:rPr>
      </w:pPr>
      <w:r>
        <w:rPr>
          <w:rFonts w:ascii="Times New Roman" w:hAnsi="Times New Roman"/>
          <w:color w:val="000000" w:themeColor="text1"/>
          <w:sz w:val="24"/>
          <w:szCs w:val="24"/>
        </w:rPr>
        <w:t>Controlul executării  deciziei se atribuie  primarului Tofan  Serghei.</w:t>
      </w:r>
    </w:p>
    <w:p>
      <w:pPr>
        <w:spacing w:after="0" w:line="240" w:lineRule="auto"/>
        <w:rPr>
          <w:rFonts w:ascii="Times New Roman" w:hAnsi="Times New Roman" w:eastAsia="Times New Roman" w:cs="Times New Roman"/>
          <w:sz w:val="16"/>
          <w:szCs w:val="16"/>
        </w:rPr>
      </w:pPr>
    </w:p>
    <w:p>
      <w:pPr>
        <w:spacing w:after="0" w:line="240" w:lineRule="auto"/>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Autor :</w:t>
      </w:r>
    </w:p>
    <w:p>
      <w:pPr>
        <w:spacing w:after="0" w:line="240" w:lineRule="auto"/>
        <w:rPr>
          <w:rFonts w:ascii="Times New Roman" w:hAnsi="Times New Roman" w:cs="Times New Roman"/>
          <w:sz w:val="24"/>
          <w:szCs w:val="24"/>
        </w:rPr>
      </w:pPr>
      <w:r>
        <w:rPr>
          <w:rFonts w:ascii="Times New Roman" w:hAnsi="Times New Roman" w:cs="Times New Roman"/>
          <w:sz w:val="24"/>
          <w:szCs w:val="24"/>
        </w:rPr>
        <w:t>Primarul s. Grozești                             Tofan  Serghei</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Tel : (0264 - 43) 2-36,Primaria.Grozesti@gmail.com</w:t>
      </w:r>
    </w:p>
    <w:p>
      <w:pPr>
        <w:spacing w:after="0" w:line="240" w:lineRule="auto"/>
        <w:rPr>
          <w:rFonts w:ascii="Times New Roman" w:hAnsi="Times New Roman" w:cs="Times New Roman"/>
          <w:sz w:val="24"/>
          <w:szCs w:val="24"/>
        </w:rPr>
      </w:pPr>
      <w:r>
        <w:rPr>
          <w:rFonts w:ascii="Times New Roman" w:hAnsi="Times New Roman" w:cs="Times New Roman"/>
          <w:sz w:val="24"/>
          <w:szCs w:val="24"/>
        </w:rPr>
        <w:t>Contrasemnat :</w:t>
      </w:r>
    </w:p>
    <w:p>
      <w:pPr>
        <w:spacing w:after="0" w:line="240" w:lineRule="auto"/>
        <w:rPr>
          <w:rFonts w:ascii="Times New Roman" w:hAnsi="Times New Roman" w:cs="Times New Roman"/>
          <w:sz w:val="24"/>
          <w:szCs w:val="24"/>
        </w:rPr>
      </w:pPr>
      <w:r>
        <w:rPr>
          <w:rFonts w:ascii="Times New Roman" w:hAnsi="Times New Roman" w:cs="Times New Roman"/>
          <w:sz w:val="24"/>
          <w:szCs w:val="24"/>
        </w:rPr>
        <w:t>Secretarul Consiliului                            Svetlana  Mitrofan</w:t>
      </w:r>
      <w:r>
        <w:rPr>
          <w:lang w:val="en-US"/>
        </w:rPr>
        <w:t xml:space="preserve">                                                                                                        </w:t>
      </w:r>
    </w:p>
    <w:p>
      <w:pPr>
        <w:spacing w:after="0" w:line="240" w:lineRule="auto"/>
        <w:jc w:val="right"/>
        <w:rPr>
          <w:rFonts w:ascii="Times New Roman" w:hAnsi="Times New Roman" w:cs="Times New Roman"/>
          <w:b/>
          <w:sz w:val="24"/>
          <w:szCs w:val="24"/>
          <w:lang w:val="zh-CN"/>
        </w:rPr>
      </w:pPr>
      <w:r>
        <w:rPr>
          <w:rFonts w:ascii="Times New Roman" w:hAnsi="Times New Roman" w:cs="Times New Roman"/>
          <w:b/>
          <w:i/>
          <w:sz w:val="24"/>
          <w:szCs w:val="24"/>
          <w:lang w:val="zh-CN"/>
        </w:rPr>
        <w:t>Anexa  nr.1</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la Decizia nr.2/8     </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din  15 .03. 2023</w:t>
      </w:r>
    </w:p>
    <w:p>
      <w:pPr>
        <w:tabs>
          <w:tab w:val="left" w:pos="7371"/>
        </w:tabs>
        <w:spacing w:after="0" w:line="240" w:lineRule="auto"/>
        <w:jc w:val="right"/>
        <w:rPr>
          <w:rFonts w:ascii="Times New Roman" w:hAnsi="Times New Roman" w:cs="Times New Roman"/>
          <w:b/>
          <w:sz w:val="24"/>
          <w:szCs w:val="24"/>
          <w:lang w:val="zh-CN"/>
        </w:rPr>
      </w:pPr>
    </w:p>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NOTĂ INFORMATIVĂ</w:t>
      </w:r>
    </w:p>
    <w:p>
      <w:pPr>
        <w:spacing w:after="0" w:line="240" w:lineRule="auto"/>
        <w:jc w:val="center"/>
        <w:rPr>
          <w:rFonts w:ascii="Times New Roman" w:hAnsi="Times New Roman" w:eastAsia="Times New Roman" w:cs="Times New Roman"/>
          <w:b/>
          <w:color w:val="000000"/>
          <w:sz w:val="24"/>
          <w:szCs w:val="24"/>
        </w:rPr>
      </w:pPr>
    </w:p>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privind alocarea surselor financiare din soldul disponibil la 01. 01. 2023.</w:t>
      </w:r>
    </w:p>
    <w:p>
      <w:pPr>
        <w:spacing w:after="0" w:line="240" w:lineRule="auto"/>
        <w:jc w:val="center"/>
        <w:rPr>
          <w:rFonts w:ascii="Times New Roman" w:hAnsi="Times New Roman" w:eastAsia="Times New Roman" w:cs="Times New Roman"/>
          <w:b/>
          <w:color w:val="000000"/>
          <w:sz w:val="24"/>
          <w:szCs w:val="24"/>
        </w:rPr>
      </w:pPr>
    </w:p>
    <w:p>
      <w:pPr>
        <w:spacing w:after="0" w:line="360" w:lineRule="auto"/>
        <w:jc w:val="both"/>
        <w:rPr>
          <w:rFonts w:ascii="Times New Roman" w:hAnsi="Times New Roman" w:eastAsia="Times New Roman" w:cs="Times New Roman"/>
          <w:color w:val="000000"/>
          <w:sz w:val="24"/>
          <w:szCs w:val="24"/>
        </w:rPr>
      </w:pPr>
    </w:p>
    <w:p>
      <w:pPr>
        <w:spacing w:after="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Proiectul  de  Decizie  a  fost  elaborat  în  scopul atingerii obiectivelor subprogramului 6402, ceea ce prevede majorarea suprafeţelor de drum din localitate reparate.  Pentru  reparaţia  unui drum de acces de  pe  teritoriul satului Grozeşti  se solicită consiliului local  alocarea sumei de  </w:t>
      </w:r>
      <w:r>
        <w:rPr>
          <w:rFonts w:ascii="Times New Roman" w:hAnsi="Times New Roman" w:eastAsia="Times New Roman" w:cs="Times New Roman"/>
          <w:b/>
          <w:color w:val="000000"/>
          <w:sz w:val="24"/>
          <w:szCs w:val="24"/>
        </w:rPr>
        <w:t xml:space="preserve">300 000,00  lei </w:t>
      </w:r>
      <w:r>
        <w:rPr>
          <w:rFonts w:ascii="Times New Roman" w:hAnsi="Times New Roman" w:eastAsia="Times New Roman" w:cs="Times New Roman"/>
          <w:color w:val="000000"/>
          <w:sz w:val="24"/>
          <w:szCs w:val="24"/>
        </w:rPr>
        <w:t>conform  devizului de cheltiueli  prezentat</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Drumurile  secundare ale localităţii  au nevoie  de  reparaţii  pentru  a  fi  accesibile  locuitorilor  pe orice timp, pe orice vreme.  </w:t>
      </w:r>
    </w:p>
    <w:p>
      <w:pPr>
        <w:spacing w:after="0" w:line="360" w:lineRule="auto"/>
        <w:ind w:firstLine="70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Solicit  consiliului  alocarea  sumei de  </w:t>
      </w:r>
      <w:r>
        <w:rPr>
          <w:rFonts w:ascii="Times New Roman" w:hAnsi="Times New Roman" w:eastAsia="Times New Roman" w:cs="Times New Roman"/>
          <w:b/>
          <w:sz w:val="24"/>
          <w:szCs w:val="24"/>
        </w:rPr>
        <w:t>300 000  lei</w:t>
      </w:r>
      <w:r>
        <w:rPr>
          <w:rFonts w:ascii="Times New Roman" w:hAnsi="Times New Roman" w:eastAsia="Times New Roman" w:cs="Times New Roman"/>
          <w:color w:val="000000"/>
          <w:sz w:val="24"/>
          <w:szCs w:val="24"/>
        </w:rPr>
        <w:t xml:space="preserve"> din soldul disponibil pentru lucrări de reparaţie capitală  a unui drum a satului Grozeşti.</w:t>
      </w:r>
    </w:p>
    <w:p>
      <w:pPr>
        <w:spacing w:after="0" w:line="360" w:lineRule="auto"/>
        <w:ind w:firstLine="708"/>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Primar                              Tofan   Serghei</w:t>
      </w:r>
    </w:p>
    <w:p/>
    <w:p/>
    <w:p/>
    <w:p>
      <w:pPr>
        <w:spacing w:after="0" w:line="240" w:lineRule="auto"/>
        <w:rPr>
          <w:lang w:val="en-US"/>
        </w:rPr>
      </w:pPr>
      <w:r>
        <w:rPr>
          <w:lang w:val="en-US"/>
        </w:rPr>
        <w:t xml:space="preserve">                                                                                                                                       </w:t>
      </w: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bookmarkStart w:id="0" w:name="_GoBack"/>
      <w:bookmarkEnd w:id="0"/>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rPr>
          <w:lang w:val="en-US"/>
        </w:rPr>
      </w:pPr>
    </w:p>
    <w:p>
      <w:pPr>
        <w:spacing w:after="0" w:line="240" w:lineRule="auto"/>
        <w:jc w:val="right"/>
        <w:rPr>
          <w:rFonts w:ascii="Times New Roman" w:hAnsi="Times New Roman" w:cs="Times New Roman"/>
          <w:b/>
          <w:sz w:val="24"/>
          <w:szCs w:val="24"/>
          <w:lang w:val="zh-CN"/>
        </w:rPr>
      </w:pPr>
      <w:r>
        <w:rPr>
          <w:lang w:val="en-US"/>
        </w:rPr>
        <w:t xml:space="preserve">  </w:t>
      </w:r>
      <w:r>
        <w:rPr>
          <w:rFonts w:ascii="Times New Roman" w:hAnsi="Times New Roman" w:eastAsia="Times New Roman" w:cs="Times New Roman"/>
          <w:b/>
          <w:color w:val="000000"/>
          <w:sz w:val="24"/>
          <w:szCs w:val="24"/>
        </w:rPr>
        <w:t xml:space="preserve">  </w:t>
      </w:r>
      <w:r>
        <w:rPr>
          <w:rFonts w:ascii="Times New Roman" w:hAnsi="Times New Roman" w:cs="Times New Roman"/>
          <w:b/>
          <w:i/>
          <w:sz w:val="24"/>
          <w:szCs w:val="24"/>
          <w:lang w:val="zh-CN"/>
        </w:rPr>
        <w:t>Anexa nr.2</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la Decizia nr.2/8     </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din  15 .05. 2023</w:t>
      </w:r>
    </w:p>
    <w:p>
      <w:pPr>
        <w:tabs>
          <w:tab w:val="left" w:pos="7371"/>
        </w:tabs>
        <w:spacing w:after="0" w:line="240" w:lineRule="auto"/>
        <w:jc w:val="right"/>
        <w:rPr>
          <w:rFonts w:ascii="Times New Roman" w:hAnsi="Times New Roman" w:cs="Times New Roman"/>
          <w:b/>
          <w:sz w:val="24"/>
          <w:szCs w:val="24"/>
          <w:lang w:val="zh-CN"/>
        </w:rPr>
      </w:pPr>
    </w:p>
    <w:p>
      <w:pPr>
        <w:spacing w:after="0" w:line="240" w:lineRule="auto"/>
        <w:jc w:val="right"/>
        <w:rPr>
          <w:rFonts w:ascii="Times New Roman" w:hAnsi="Times New Roman" w:eastAsia="Times New Roman" w:cs="Times New Roman"/>
          <w:b/>
          <w:color w:val="000000"/>
          <w:sz w:val="24"/>
          <w:szCs w:val="24"/>
        </w:rPr>
      </w:pPr>
    </w:p>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NOTĂ INFORMATIVĂ</w:t>
      </w:r>
    </w:p>
    <w:p>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privind  soldul  disponibil la 01.01.2023  a Primariei  satului   Grozeşti   </w:t>
      </w:r>
    </w:p>
    <w:p>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pPr>
        <w:spacing w:after="120" w:line="360" w:lineRule="auto"/>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Bugetul  Primăriei  Grozeşti pentru anul 2023 a fost aprobat conform  Deciziei Consiliului nr. 4/12 din  06.12.2022, acesta constituind  atât la capitolul  </w:t>
      </w:r>
      <w:r>
        <w:rPr>
          <w:rFonts w:ascii="Times New Roman" w:hAnsi="Times New Roman" w:cs="Times New Roman"/>
          <w:b/>
          <w:sz w:val="24"/>
          <w:szCs w:val="24"/>
          <w:lang w:val="en-US"/>
        </w:rPr>
        <w:t>venituri</w:t>
      </w:r>
      <w:r>
        <w:rPr>
          <w:rFonts w:ascii="Times New Roman" w:hAnsi="Times New Roman" w:cs="Times New Roman"/>
          <w:sz w:val="24"/>
          <w:szCs w:val="24"/>
          <w:lang w:val="en-US"/>
        </w:rPr>
        <w:t xml:space="preserve">  cât  şi  la  </w:t>
      </w:r>
      <w:r>
        <w:rPr>
          <w:rFonts w:ascii="Times New Roman" w:hAnsi="Times New Roman" w:cs="Times New Roman"/>
          <w:b/>
          <w:sz w:val="24"/>
          <w:szCs w:val="24"/>
          <w:lang w:val="en-US"/>
        </w:rPr>
        <w:t>cheltuieli</w:t>
      </w:r>
      <w:r>
        <w:rPr>
          <w:rFonts w:ascii="Times New Roman" w:hAnsi="Times New Roman" w:cs="Times New Roman"/>
          <w:sz w:val="24"/>
          <w:szCs w:val="24"/>
          <w:lang w:val="en-US"/>
        </w:rPr>
        <w:t xml:space="preserve">  suma de </w:t>
      </w:r>
      <w:r>
        <w:rPr>
          <w:rFonts w:ascii="Times New Roman" w:hAnsi="Times New Roman" w:cs="Times New Roman"/>
          <w:b/>
          <w:sz w:val="24"/>
          <w:szCs w:val="24"/>
          <w:lang w:val="en-US"/>
        </w:rPr>
        <w:t>4 131,5  mii lei</w:t>
      </w:r>
      <w:r>
        <w:rPr>
          <w:rFonts w:ascii="Times New Roman" w:hAnsi="Times New Roman" w:cs="Times New Roman"/>
          <w:sz w:val="24"/>
          <w:szCs w:val="24"/>
          <w:lang w:val="en-US"/>
        </w:rPr>
        <w:t xml:space="preserve">. </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Soldul disponibil</w:t>
      </w:r>
      <w:r>
        <w:rPr>
          <w:rFonts w:ascii="Times New Roman" w:hAnsi="Times New Roman" w:cs="Times New Roman"/>
          <w:sz w:val="24"/>
          <w:szCs w:val="24"/>
          <w:lang w:val="en-US"/>
        </w:rPr>
        <w:t xml:space="preserve">  la  01.01.2023  a fost înregistrat  în sumă  de  </w:t>
      </w:r>
      <w:r>
        <w:rPr>
          <w:rFonts w:ascii="Times New Roman" w:hAnsi="Times New Roman" w:cs="Times New Roman"/>
          <w:b/>
          <w:sz w:val="24"/>
          <w:szCs w:val="24"/>
          <w:lang w:val="en-US"/>
        </w:rPr>
        <w:t>712 041,64 lei</w:t>
      </w:r>
      <w:r>
        <w:rPr>
          <w:rFonts w:ascii="Times New Roman" w:hAnsi="Times New Roman" w:cs="Times New Roman"/>
          <w:sz w:val="24"/>
          <w:szCs w:val="24"/>
          <w:lang w:val="en-US"/>
        </w:rPr>
        <w:t>.</w:t>
      </w:r>
    </w:p>
    <w:p>
      <w:pPr>
        <w:spacing w:after="12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Veniturile  bugetului  local  care sunt constituite din:  impozite,  taxe, transferuri cu destinaţii specifice,  alte venituri prevăzute de legislaţie  </w:t>
      </w:r>
      <w:r>
        <w:rPr>
          <w:rFonts w:ascii="Times New Roman" w:hAnsi="Times New Roman" w:cs="Times New Roman"/>
          <w:sz w:val="24"/>
          <w:szCs w:val="24"/>
          <w:u w:val="single"/>
          <w:lang w:val="en-US"/>
        </w:rPr>
        <w:t>nu au fost  suficiente   pentru  a  planifica  unele  cheltuieli  pe   instituţii</w:t>
      </w:r>
      <w:r>
        <w:rPr>
          <w:rFonts w:ascii="Times New Roman" w:hAnsi="Times New Roman" w:cs="Times New Roman"/>
          <w:sz w:val="24"/>
          <w:szCs w:val="24"/>
          <w:lang w:val="en-US"/>
        </w:rPr>
        <w:t xml:space="preserve">. </w:t>
      </w:r>
    </w:p>
    <w:p>
      <w:pPr>
        <w:spacing w:after="12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Analizând   multitudinea  de  probleme  şi  impedimente  ale  funcţionării  eficiente a  activităţii  tuturor  instituţiilor  APL  Grozeşti  se  propune  acoperirea  financiară  a  unor  lucrări  din  soldul  disponibil  la  01.01.2023,  după  cum  urmează:</w:t>
      </w:r>
    </w:p>
    <w:p>
      <w:pPr>
        <w:pStyle w:val="7"/>
        <w:numPr>
          <w:ilvl w:val="0"/>
          <w:numId w:val="4"/>
        </w:numPr>
        <w:spacing w:after="0" w:line="360" w:lineRule="auto"/>
        <w:jc w:val="both"/>
        <w:rPr>
          <w:rFonts w:ascii="Times New Roman" w:hAnsi="Times New Roman"/>
          <w:b/>
          <w:sz w:val="28"/>
          <w:szCs w:val="28"/>
          <w:u w:val="single"/>
        </w:rPr>
      </w:pPr>
      <w:r>
        <w:rPr>
          <w:rFonts w:ascii="Times New Roman" w:hAnsi="Times New Roman"/>
          <w:b/>
          <w:sz w:val="28"/>
          <w:szCs w:val="28"/>
          <w:u w:val="single"/>
        </w:rPr>
        <w:t>Aparatul  primarului</w:t>
      </w:r>
      <w:r>
        <w:rPr>
          <w:rFonts w:ascii="Times New Roman" w:hAnsi="Times New Roman"/>
          <w:b/>
          <w:sz w:val="28"/>
          <w:szCs w:val="28"/>
        </w:rPr>
        <w:t>: 11129;</w:t>
      </w:r>
      <w:r>
        <w:rPr>
          <w:rFonts w:ascii="Times New Roman" w:hAnsi="Times New Roman"/>
          <w:b/>
          <w:sz w:val="28"/>
          <w:szCs w:val="28"/>
          <w:u w:val="single"/>
        </w:rPr>
        <w:t xml:space="preserve"> </w:t>
      </w:r>
      <w:r>
        <w:rPr>
          <w:rFonts w:ascii="Times New Roman" w:hAnsi="Times New Roman"/>
          <w:sz w:val="28"/>
          <w:szCs w:val="28"/>
          <w:u w:val="single"/>
        </w:rPr>
        <w:t xml:space="preserve"> F1F2</w:t>
      </w:r>
      <w:r>
        <w:rPr>
          <w:rFonts w:ascii="Times New Roman" w:hAnsi="Times New Roman"/>
          <w:b/>
          <w:sz w:val="28"/>
          <w:szCs w:val="28"/>
          <w:u w:val="single"/>
        </w:rPr>
        <w:t xml:space="preserve"> 0451</w:t>
      </w:r>
      <w:r>
        <w:rPr>
          <w:rFonts w:ascii="Times New Roman" w:hAnsi="Times New Roman"/>
          <w:sz w:val="28"/>
          <w:szCs w:val="28"/>
          <w:u w:val="single"/>
        </w:rPr>
        <w:t>; P1P2</w:t>
      </w:r>
      <w:r>
        <w:rPr>
          <w:rFonts w:ascii="Times New Roman" w:hAnsi="Times New Roman"/>
          <w:b/>
          <w:sz w:val="28"/>
          <w:szCs w:val="28"/>
          <w:u w:val="single"/>
        </w:rPr>
        <w:t xml:space="preserve">  6402; </w:t>
      </w:r>
      <w:r>
        <w:rPr>
          <w:rFonts w:ascii="Times New Roman" w:hAnsi="Times New Roman"/>
          <w:sz w:val="28"/>
          <w:szCs w:val="28"/>
          <w:u w:val="single"/>
        </w:rPr>
        <w:t>P3</w:t>
      </w:r>
      <w:r>
        <w:rPr>
          <w:rFonts w:ascii="Times New Roman" w:hAnsi="Times New Roman"/>
          <w:b/>
          <w:sz w:val="28"/>
          <w:szCs w:val="28"/>
          <w:u w:val="single"/>
        </w:rPr>
        <w:t xml:space="preserve"> 00395 </w:t>
      </w:r>
      <w:r>
        <w:rPr>
          <w:rFonts w:ascii="Times New Roman" w:hAnsi="Times New Roman"/>
          <w:b/>
          <w:sz w:val="24"/>
          <w:szCs w:val="24"/>
          <w:u w:val="single"/>
        </w:rPr>
        <w:t>.</w:t>
      </w:r>
    </w:p>
    <w:p>
      <w:pPr>
        <w:pStyle w:val="7"/>
        <w:numPr>
          <w:ilvl w:val="0"/>
          <w:numId w:val="5"/>
        </w:numPr>
        <w:spacing w:after="0" w:line="240" w:lineRule="auto"/>
        <w:jc w:val="both"/>
        <w:rPr>
          <w:rFonts w:ascii="Times New Roman" w:hAnsi="Times New Roman"/>
          <w:sz w:val="24"/>
          <w:szCs w:val="24"/>
          <w:u w:val="single"/>
        </w:rPr>
      </w:pPr>
      <w:r>
        <w:rPr>
          <w:rFonts w:ascii="Times New Roman" w:hAnsi="Times New Roman"/>
          <w:sz w:val="24"/>
          <w:szCs w:val="24"/>
          <w:lang w:val="ro-RO"/>
        </w:rPr>
        <w:t>Reparaţii capitale ale construcţiilor speciale</w:t>
      </w:r>
      <w:r>
        <w:rPr>
          <w:rFonts w:ascii="Times New Roman" w:hAnsi="Times New Roman"/>
          <w:sz w:val="24"/>
          <w:szCs w:val="24"/>
        </w:rPr>
        <w:t xml:space="preserve"> - </w:t>
      </w:r>
      <w:r>
        <w:rPr>
          <w:rFonts w:ascii="Times New Roman" w:hAnsi="Times New Roman"/>
          <w:sz w:val="24"/>
          <w:szCs w:val="24"/>
          <w:u w:val="single"/>
        </w:rPr>
        <w:t xml:space="preserve">cod eco: 312120 – </w:t>
      </w:r>
      <w:r>
        <w:rPr>
          <w:rFonts w:ascii="Times New Roman" w:hAnsi="Times New Roman"/>
          <w:b/>
          <w:sz w:val="24"/>
          <w:szCs w:val="24"/>
          <w:u w:val="single"/>
        </w:rPr>
        <w:t>300 000,00  lei</w:t>
      </w:r>
      <w:r>
        <w:rPr>
          <w:rFonts w:ascii="Times New Roman" w:hAnsi="Times New Roman"/>
          <w:sz w:val="24"/>
          <w:szCs w:val="24"/>
          <w:u w:val="single"/>
        </w:rPr>
        <w:t>.</w:t>
      </w:r>
    </w:p>
    <w:p>
      <w:pPr>
        <w:pStyle w:val="7"/>
        <w:spacing w:after="0" w:line="240" w:lineRule="auto"/>
        <w:jc w:val="both"/>
        <w:rPr>
          <w:rFonts w:ascii="Times New Roman" w:hAnsi="Times New Roman"/>
          <w:sz w:val="24"/>
          <w:szCs w:val="24"/>
          <w:u w:val="single"/>
        </w:rPr>
      </w:pPr>
    </w:p>
    <w:p>
      <w:pPr>
        <w:pStyle w:val="7"/>
        <w:spacing w:after="0" w:line="240" w:lineRule="auto"/>
        <w:jc w:val="both"/>
        <w:rPr>
          <w:rFonts w:ascii="Times New Roman" w:hAnsi="Times New Roman"/>
          <w:sz w:val="24"/>
          <w:szCs w:val="24"/>
          <w:u w:val="single"/>
        </w:rPr>
      </w:pPr>
    </w:p>
    <w:p>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lang w:val="en-US"/>
        </w:rPr>
        <w:t>Scopul  proiectului  de decizie</w:t>
      </w:r>
      <w:r>
        <w:rPr>
          <w:rFonts w:ascii="Times New Roman" w:hAnsi="Times New Roman" w:cs="Times New Roman"/>
          <w:sz w:val="24"/>
          <w:szCs w:val="24"/>
          <w:lang w:val="en-US"/>
        </w:rPr>
        <w:t xml:space="preserve">  este  raportarea  repartizării  soldului  disponibil   la  01.01.2023  în conformitate cu legislaţia  în vigoare  cât şi de a  informa Consiliul  local  despre  necesitatea  repartizării  soldului  disponibil  şi  priorităţile  APL  Grozeşti. </w:t>
      </w:r>
    </w:p>
    <w:p>
      <w:pPr>
        <w:rPr>
          <w:rFonts w:ascii="Times New Roman" w:hAnsi="Times New Roman" w:cs="Times New Roman"/>
          <w:sz w:val="24"/>
          <w:szCs w:val="24"/>
        </w:rPr>
      </w:pPr>
      <w:r>
        <w:rPr>
          <w:rFonts w:ascii="Times New Roman" w:hAnsi="Times New Roman" w:cs="Times New Roman"/>
          <w:sz w:val="24"/>
          <w:szCs w:val="24"/>
        </w:rPr>
        <w:t xml:space="preserve"> La  elaborarea  proiectului de decizie  se urmăresc următoarele </w:t>
      </w:r>
      <w:r>
        <w:rPr>
          <w:rFonts w:ascii="Times New Roman" w:hAnsi="Times New Roman" w:cs="Times New Roman"/>
          <w:b/>
          <w:sz w:val="24"/>
          <w:szCs w:val="24"/>
        </w:rPr>
        <w:t>obiective</w:t>
      </w:r>
      <w:r>
        <w:rPr>
          <w:rFonts w:ascii="Times New Roman" w:hAnsi="Times New Roman" w:cs="Times New Roman"/>
          <w:sz w:val="24"/>
          <w:szCs w:val="24"/>
        </w:rPr>
        <w:t>:</w:t>
      </w:r>
    </w:p>
    <w:p>
      <w:pPr>
        <w:pStyle w:val="7"/>
        <w:numPr>
          <w:ilvl w:val="0"/>
          <w:numId w:val="6"/>
        </w:numPr>
        <w:rPr>
          <w:rFonts w:ascii="Times New Roman" w:hAnsi="Times New Roman"/>
          <w:sz w:val="24"/>
          <w:szCs w:val="24"/>
        </w:rPr>
      </w:pPr>
      <w:r>
        <w:rPr>
          <w:rFonts w:ascii="Times New Roman" w:hAnsi="Times New Roman"/>
          <w:sz w:val="24"/>
          <w:szCs w:val="24"/>
        </w:rPr>
        <w:t>Satisfacerea   cerinţelor  pentru asigurarea  funcţionării  eficiente a APL  Grozeşti;</w:t>
      </w:r>
    </w:p>
    <w:p>
      <w:pPr>
        <w:pStyle w:val="7"/>
        <w:numPr>
          <w:ilvl w:val="0"/>
          <w:numId w:val="6"/>
        </w:numPr>
        <w:rPr>
          <w:rFonts w:ascii="Times New Roman" w:hAnsi="Times New Roman"/>
          <w:sz w:val="24"/>
          <w:szCs w:val="24"/>
        </w:rPr>
      </w:pPr>
      <w:r>
        <w:rPr>
          <w:rFonts w:ascii="Times New Roman" w:hAnsi="Times New Roman"/>
          <w:sz w:val="24"/>
          <w:szCs w:val="24"/>
        </w:rPr>
        <w:t xml:space="preserve"> Managmentul  financiar   eficient;</w:t>
      </w:r>
    </w:p>
    <w:p>
      <w:pPr>
        <w:pStyle w:val="7"/>
        <w:numPr>
          <w:ilvl w:val="0"/>
          <w:numId w:val="6"/>
        </w:numPr>
        <w:rPr>
          <w:rFonts w:ascii="Times New Roman" w:hAnsi="Times New Roman"/>
          <w:sz w:val="24"/>
          <w:szCs w:val="24"/>
        </w:rPr>
      </w:pPr>
      <w:r>
        <w:rPr>
          <w:rFonts w:ascii="Times New Roman" w:hAnsi="Times New Roman"/>
          <w:sz w:val="24"/>
          <w:szCs w:val="24"/>
        </w:rPr>
        <w:t xml:space="preserve">Asigurarea transparenţei  folosirii banilor publici. </w:t>
      </w:r>
    </w:p>
    <w:p>
      <w:pPr>
        <w:pStyle w:val="7"/>
        <w:rPr>
          <w:rFonts w:ascii="Times New Roman" w:hAnsi="Times New Roman"/>
          <w:sz w:val="24"/>
          <w:szCs w:val="24"/>
        </w:rPr>
      </w:pPr>
    </w:p>
    <w:p>
      <w:pPr>
        <w:pStyle w:val="7"/>
        <w:ind w:left="0"/>
        <w:rPr>
          <w:rFonts w:ascii="Times New Roman" w:hAnsi="Times New Roman"/>
          <w:sz w:val="24"/>
          <w:szCs w:val="24"/>
        </w:rPr>
      </w:pPr>
      <w:r>
        <w:rPr>
          <w:rFonts w:ascii="Times New Roman" w:hAnsi="Times New Roman"/>
          <w:sz w:val="24"/>
          <w:szCs w:val="24"/>
        </w:rPr>
        <w:t>Se  propune  Consiliului  local  aprobarea  Proiectului  de  decizie  prenominalizat.</w:t>
      </w:r>
    </w:p>
    <w:p>
      <w:pPr>
        <w:rPr>
          <w:rFonts w:ascii="Times New Roman" w:hAnsi="Times New Roman" w:cs="Times New Roman"/>
          <w:b/>
          <w:sz w:val="24"/>
          <w:szCs w:val="24"/>
          <w:lang w:val="en-US"/>
        </w:rPr>
      </w:pPr>
    </w:p>
    <w:p>
      <w:pPr>
        <w:rPr>
          <w:rFonts w:ascii="Times New Roman" w:hAnsi="Times New Roman" w:cs="Times New Roman"/>
          <w:sz w:val="24"/>
          <w:szCs w:val="24"/>
          <w:lang w:val="en-US"/>
        </w:rPr>
      </w:pPr>
      <w:r>
        <w:rPr>
          <w:rFonts w:ascii="Times New Roman" w:hAnsi="Times New Roman" w:cs="Times New Roman"/>
          <w:b/>
          <w:sz w:val="24"/>
          <w:szCs w:val="24"/>
          <w:lang w:val="en-US"/>
        </w:rPr>
        <w:t>Contabil-şef</w:t>
      </w:r>
      <w:r>
        <w:rPr>
          <w:rFonts w:ascii="Times New Roman" w:hAnsi="Times New Roman" w:cs="Times New Roman"/>
          <w:sz w:val="24"/>
          <w:szCs w:val="24"/>
          <w:lang w:val="en-US"/>
        </w:rPr>
        <w:t xml:space="preserve">    __________ Fonari  Natalia </w:t>
      </w: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Anexa nr. 3</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la Decizia nr.2/8     </w:t>
      </w:r>
    </w:p>
    <w:p>
      <w:pPr>
        <w:tabs>
          <w:tab w:val="left" w:pos="7371"/>
        </w:tabs>
        <w:spacing w:after="0" w:line="240" w:lineRule="auto"/>
        <w:jc w:val="right"/>
        <w:rPr>
          <w:rFonts w:ascii="Times New Roman" w:hAnsi="Times New Roman" w:cs="Times New Roman"/>
          <w:b/>
          <w:sz w:val="24"/>
          <w:szCs w:val="24"/>
          <w:lang w:val="zh-CN"/>
        </w:rPr>
      </w:pPr>
      <w:r>
        <w:rPr>
          <w:rFonts w:ascii="Times New Roman" w:hAnsi="Times New Roman" w:cs="Times New Roman"/>
          <w:b/>
          <w:sz w:val="24"/>
          <w:szCs w:val="24"/>
          <w:lang w:val="zh-CN"/>
        </w:rPr>
        <w:t xml:space="preserve">                                                                                                  din  15 .03. 2023</w:t>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NOTA  INFORMATIVA</w:t>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la Proiectul de decizie nr.   2/8    din  15.05.2023</w:t>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Cu privire la  repartizarea soldului disponibi   la 01.01.2023 ”                                                        </w:t>
      </w:r>
    </w:p>
    <w:p>
      <w:pPr>
        <w:rPr>
          <w:rFonts w:ascii="Times New Roman" w:hAnsi="Times New Roman" w:cs="Times New Roman"/>
          <w:sz w:val="24"/>
          <w:szCs w:val="24"/>
          <w:lang w:val="en-US"/>
        </w:rPr>
      </w:pPr>
      <w:r>
        <w:rPr>
          <w:rFonts w:ascii="Times New Roman" w:hAnsi="Times New Roman" w:cs="Times New Roman"/>
          <w:b/>
          <w:sz w:val="24"/>
          <w:szCs w:val="24"/>
          <w:lang w:val="en-US"/>
        </w:rPr>
        <w:t>Denumirea autorului proiectului</w:t>
      </w:r>
    </w:p>
    <w:p>
      <w:pPr>
        <w:rPr>
          <w:rFonts w:ascii="Times New Roman" w:hAnsi="Times New Roman" w:cs="Times New Roman"/>
          <w:sz w:val="24"/>
          <w:szCs w:val="24"/>
          <w:lang w:val="en-US"/>
        </w:rPr>
      </w:pPr>
      <w:r>
        <w:rPr>
          <w:rFonts w:ascii="Times New Roman" w:hAnsi="Times New Roman" w:cs="Times New Roman"/>
          <w:sz w:val="24"/>
          <w:szCs w:val="24"/>
          <w:lang w:val="en-US"/>
        </w:rPr>
        <w:t>Proiectul este elaborat de c</w:t>
      </w:r>
      <w:r>
        <w:rPr>
          <w:rFonts w:ascii="Times New Roman" w:hAnsi="Times New Roman" w:cs="Times New Roman"/>
          <w:sz w:val="24"/>
          <w:szCs w:val="24"/>
        </w:rPr>
        <w:t>ă</w:t>
      </w:r>
      <w:r>
        <w:rPr>
          <w:rFonts w:ascii="Times New Roman" w:hAnsi="Times New Roman" w:cs="Times New Roman"/>
          <w:sz w:val="24"/>
          <w:szCs w:val="24"/>
          <w:lang w:val="en-US"/>
        </w:rPr>
        <w:t xml:space="preserve">tre  primarul s. Grozeşti. </w:t>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Condiţiile ce au impus elaborarea proiectului de decizie</w:t>
      </w:r>
    </w:p>
    <w:p>
      <w:pPr>
        <w:spacing w:after="0" w:line="360" w:lineRule="auto"/>
        <w:jc w:val="both"/>
        <w:rPr>
          <w:lang w:val="en-US"/>
        </w:rPr>
      </w:pPr>
      <w:r>
        <w:rPr>
          <w:rFonts w:ascii="Times New Roman" w:hAnsi="Times New Roman" w:cs="Times New Roman"/>
          <w:sz w:val="24"/>
          <w:szCs w:val="24"/>
          <w:lang w:val="en-US"/>
        </w:rPr>
        <w:t>În conformitate cu Legea privind administraţia publică locală Nr. 436-XVI din 28.12.2006, Legii finanţelor publice şi responsabilităţii bugetar-fiscale nr. 181 din 25.07.2014</w:t>
      </w:r>
      <w:r>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Bugetul local  pentru  anul  2023, aprobat  prin  Decizia  nr.4/12 din 06.12.2022</w:t>
      </w:r>
      <w:r>
        <w:rPr>
          <w:rFonts w:ascii="Times New Roman" w:hAnsi="Times New Roman" w:cs="Times New Roman"/>
          <w:sz w:val="24"/>
          <w:szCs w:val="24"/>
          <w:lang w:val="en-GB"/>
        </w:rPr>
        <w:t>, din motivul insuficienţei resurselor  financiare  pentru  a acoperi cheltuieli la reperaţia străzilor din sat am iniţiat procesul de elaborare  a acestui  proiect de decizie.</w:t>
      </w:r>
    </w:p>
    <w:p>
      <w:pPr>
        <w:spacing w:after="0"/>
        <w:ind w:firstLine="708"/>
        <w:rPr>
          <w:lang w:val="en-US"/>
        </w:rPr>
      </w:pP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Scopul elaborarii proiectului de decizie este raportarea repartizării soldului disponibil la 01.01.2023   în conformitate cu legislaţia în vigoare cît şi de a informa Consiliul local despre inițiativa de repartizare a soldului disponibil la 01.01.2023 , conform  necesităților identificate.</w:t>
      </w:r>
    </w:p>
    <w:p>
      <w:pPr>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Conformitatea proiectului cu actele normative şi legislative în vigoare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Proiectul de decizie respectă prevederile actelor normative şi legislative actuale şi este elaborat în vederea implimentării Legii nr.239 din 13.11.2008 privind transparenţa în procesul decizional şi Legii nr. 100 din 22.12.2017 cu privire la actele normative.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Principalele prevederi, evidenţierea elementelor noi</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Legile care reglementeaza domeniul vizat: Legea nr. 436-XVI din 28 decembrie 2006 privind administraţia publică locală ,,Legea finanţelor publice şi responsabilităţii bugetar-fiscale nr.181 din 25 iulie 2014, Legea nr. 397-XV din 16 octombrie 2003 privind finanţele publice locale.</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Elaborarea proiectului  deciziei privind repartizarea soldului disponibil la 01.01.2023  este motivată  de acoperirea financiară pentru lucrări  de gazificare cu  presiune  medie şi  lucrări  de reparaţie a străzilor din localitate.</w:t>
      </w:r>
    </w:p>
    <w:p>
      <w:pPr>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Fundamentarea economico-financiară în cazul în care realizarea noilor reglementări necesită cheltuieli financiare şi de altă natură.</w:t>
      </w:r>
    </w:p>
    <w:p>
      <w:pPr>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Aprobarea proiectului dat de decizie  presupune  alocarea de surse financiare  și indică expres sursa - soldul disponibil.</w:t>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      Modul de incorporare a actului in cadrul normativ</w:t>
      </w:r>
    </w:p>
    <w:p>
      <w:pPr>
        <w:rPr>
          <w:rFonts w:ascii="Times New Roman" w:hAnsi="Times New Roman" w:cs="Times New Roman"/>
          <w:sz w:val="24"/>
          <w:szCs w:val="24"/>
          <w:lang w:val="en-US"/>
        </w:rPr>
      </w:pPr>
      <w:r>
        <w:rPr>
          <w:rFonts w:ascii="Times New Roman" w:hAnsi="Times New Roman" w:cs="Times New Roman"/>
          <w:sz w:val="24"/>
          <w:szCs w:val="24"/>
          <w:lang w:val="en-US"/>
        </w:rPr>
        <w:t>Proiectul de decizie a fost elaborate în conformitate cu art. 43(1) b) al Legii nr. 436-XVI din 28 decembrie 2006 privind administraţia publică locală, art. 61 (1) al Legii finanţelor publice şi responsabiliăţtii bugetar-fiscale nr. 181 din 25 iulie 2014, art.27 din Legea nr. 397-XV din 16 octombrie 2003 privind finanţele publice locale.</w:t>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Avizarea şi consultarea publică a proiectului</w:t>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 În scopul respectării prevederii Legii nr. 239 din 13.11.2008 privind transparenţa  în procesul decizional şi Legii nr. 100 din 22.12.2017 cu privire la acte normative, anuntul cu privire la initierea elaborării proiectului deciziei  au fost plasate pe pagina </w:t>
      </w:r>
      <w:r>
        <w:rPr>
          <w:rFonts w:ascii="Times New Roman" w:hAnsi="Times New Roman" w:cs="Times New Roman"/>
          <w:b/>
          <w:sz w:val="24"/>
          <w:szCs w:val="24"/>
          <w:lang w:val="en-US"/>
        </w:rPr>
        <w:t>WEB: grozesti.sat.md</w:t>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Proiectul de decizie se prezintă comisiilor de specialitate pentru avizare şi  propunere Consiliului local pentru examinare şi adoptare în şedinţă.</w:t>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Constatările expertizei juridice </w:t>
      </w:r>
    </w:p>
    <w:p>
      <w:pPr>
        <w:rPr>
          <w:rFonts w:ascii="Times New Roman" w:hAnsi="Times New Roman" w:cs="Times New Roman"/>
          <w:sz w:val="24"/>
          <w:szCs w:val="24"/>
          <w:lang w:val="en-US"/>
        </w:rPr>
      </w:pPr>
      <w:r>
        <w:rPr>
          <w:rFonts w:ascii="Times New Roman" w:hAnsi="Times New Roman" w:cs="Times New Roman"/>
          <w:sz w:val="24"/>
          <w:szCs w:val="24"/>
          <w:lang w:val="en-US"/>
        </w:rPr>
        <w:t>Categoria actului propus este Decizia Consiliului local, ceea ce corespunde art. 46 din Legea nr. 436 din 28.12.2006 cu privire la administraţia publică locală, art. 10 lit. (c) din Legea nr. 317 din 18.07.2003 privind actele normative ale Guvernului şi ale altor autoritaţi ale administraţiei publice centrale şi locale, art. 63 a Legii finanţelor publice şi responsabilităţii bugetar-fiscale nr. 181 din 25.07.2014, art. 28 al Legii finanţelor publice locale nr. 397 din 16.10.2003.</w:t>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Impactul proiectului</w:t>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Proiectul va avea un impact pozitiv  pentru asigurarea dezvoltării satului, extinderea  suprafeţei  drumurilor reparate.</w:t>
      </w:r>
    </w:p>
    <w:p>
      <w:pPr>
        <w:rPr>
          <w:rFonts w:ascii="Times New Roman" w:hAnsi="Times New Roman" w:cs="Times New Roman"/>
          <w:sz w:val="24"/>
          <w:szCs w:val="24"/>
          <w:lang w:val="en-US"/>
        </w:rPr>
      </w:pPr>
    </w:p>
    <w:p>
      <w:pPr>
        <w:rPr>
          <w:rFonts w:ascii="Times New Roman" w:hAnsi="Times New Roman" w:cs="Times New Roman"/>
          <w:sz w:val="24"/>
          <w:szCs w:val="24"/>
          <w:lang w:val="en-US"/>
        </w:rPr>
      </w:pPr>
      <w:r>
        <w:rPr>
          <w:rFonts w:ascii="Times New Roman" w:hAnsi="Times New Roman" w:cs="Times New Roman"/>
          <w:sz w:val="24"/>
          <w:szCs w:val="24"/>
          <w:lang w:val="en-US"/>
        </w:rPr>
        <w:t>Proiectul nu prezintă elemente de corupţie.</w:t>
      </w: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r>
        <w:rPr>
          <w:rFonts w:ascii="Times New Roman" w:hAnsi="Times New Roman" w:cs="Times New Roman"/>
          <w:sz w:val="24"/>
          <w:szCs w:val="24"/>
          <w:lang w:val="en-US"/>
        </w:rPr>
        <w:t xml:space="preserve">   Primar                                     Tofan Serghei</w:t>
      </w:r>
    </w:p>
    <w:p/>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rPr>
          <w:sz w:val="24"/>
          <w:szCs w:val="24"/>
          <w:lang w:val="en-US"/>
        </w:rPr>
      </w:pPr>
    </w:p>
    <w:p>
      <w:pPr>
        <w:tabs>
          <w:tab w:val="left" w:pos="1701"/>
        </w:tabs>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ru-RU" w:eastAsia="ru-RU"/>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13335</wp:posOffset>
            </wp:positionV>
            <wp:extent cx="742950" cy="723900"/>
            <wp:effectExtent l="19050" t="0" r="0" b="0"/>
            <wp:wrapNone/>
            <wp:docPr id="1"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a:ln w="9525">
                      <a:noFill/>
                      <a:miter lim="800000"/>
                      <a:headEnd/>
                      <a:tailEnd/>
                    </a:ln>
                  </pic:spPr>
                </pic:pic>
              </a:graphicData>
            </a:graphic>
          </wp:anchor>
        </w:drawing>
      </w:r>
      <w:r>
        <w:rPr>
          <w:rFonts w:ascii="Times New Roman" w:hAnsi="Times New Roman"/>
          <w:b/>
          <w:sz w:val="24"/>
          <w:szCs w:val="24"/>
          <w:lang w:val="en-US"/>
        </w:rPr>
        <w:t>REPUBLICA MOLDOVA</w:t>
      </w:r>
      <w:r>
        <w:rPr>
          <w:rFonts w:ascii="Times New Roman" w:hAnsi="Times New Roman"/>
          <w:b/>
          <w:sz w:val="24"/>
          <w:szCs w:val="24"/>
          <w:lang w:val="ru-RU" w:eastAsia="ru-RU"/>
        </w:rPr>
        <w:drawing>
          <wp:anchor distT="0" distB="0" distL="114300" distR="114300" simplePos="0" relativeHeight="251662336" behindDoc="0" locked="0" layoutInCell="1" allowOverlap="1">
            <wp:simplePos x="0" y="0"/>
            <wp:positionH relativeFrom="column">
              <wp:posOffset>4815205</wp:posOffset>
            </wp:positionH>
            <wp:positionV relativeFrom="paragraph">
              <wp:posOffset>635</wp:posOffset>
            </wp:positionV>
            <wp:extent cx="689610" cy="713740"/>
            <wp:effectExtent l="19050" t="0" r="0" b="0"/>
            <wp:wrapNone/>
            <wp:docPr id="2"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GROZESTI_ST1 (2).jpg"/>
                    <pic:cNvPicPr>
                      <a:picLocks noChangeAspect="1" noChangeArrowheads="1"/>
                    </pic:cNvPicPr>
                  </pic:nvPicPr>
                  <pic:blipFill>
                    <a:blip r:embed="rId6" cstate="print"/>
                    <a:srcRect/>
                    <a:stretch>
                      <a:fillRect/>
                    </a:stretch>
                  </pic:blipFill>
                  <pic:spPr>
                    <a:xfrm>
                      <a:off x="0" y="0"/>
                      <a:ext cx="689610" cy="713740"/>
                    </a:xfrm>
                    <a:prstGeom prst="rect">
                      <a:avLst/>
                    </a:prstGeom>
                    <a:noFill/>
                    <a:ln w="9525">
                      <a:noFill/>
                      <a:miter lim="800000"/>
                      <a:headEnd/>
                      <a:tailEnd/>
                    </a:ln>
                  </pic:spPr>
                </pic:pic>
              </a:graphicData>
            </a:graphic>
          </wp:anchor>
        </w:drawing>
      </w:r>
    </w:p>
    <w:p>
      <w:pPr>
        <w:tabs>
          <w:tab w:val="left" w:pos="1473"/>
          <w:tab w:val="center" w:pos="5173"/>
        </w:tabs>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RAIONUL NISPORENI</w:t>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PRIMĂRIA SATULUI  GROZEȘTI</w:t>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MD - 6427, satulGrozesti, raionulNisporeni</w:t>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Tel : (0264 - 43) 2-36 ,  (0264 - 43) 6-68  , (0264 - 43) 2-38 -fax</w:t>
      </w:r>
    </w:p>
    <w:p>
      <w:pPr>
        <w:spacing w:after="0" w:line="240" w:lineRule="auto"/>
        <w:ind w:firstLine="284"/>
        <w:jc w:val="center"/>
        <w:rPr>
          <w:rFonts w:ascii="Times New Roman" w:hAnsi="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b/>
          <w:sz w:val="24"/>
          <w:szCs w:val="24"/>
          <w:lang w:val="en-US"/>
        </w:rPr>
        <w:t>Primaria.Grozesti@gmail.com</w:t>
      </w:r>
      <w:r>
        <w:rPr>
          <w:rStyle w:val="4"/>
          <w:rFonts w:ascii="Times New Roman" w:hAnsi="Times New Roman"/>
          <w:b/>
          <w:sz w:val="24"/>
          <w:szCs w:val="24"/>
          <w:lang w:val="en-US"/>
        </w:rPr>
        <w:fldChar w:fldCharType="end"/>
      </w:r>
    </w:p>
    <w:p>
      <w:pPr>
        <w:pBdr>
          <w:bottom w:val="single" w:color="auto" w:sz="12" w:space="1"/>
        </w:pBd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WEB : grozesti.sat.md</w:t>
      </w:r>
    </w:p>
    <w:p>
      <w:pPr>
        <w:rPr>
          <w:rFonts w:ascii="Times New Roman" w:hAnsi="Times New Roman"/>
          <w:b/>
          <w:sz w:val="28"/>
          <w:szCs w:val="28"/>
          <w:u w:val="single"/>
          <w:lang w:val="en-US"/>
        </w:rPr>
      </w:pPr>
    </w:p>
    <w:p>
      <w:pPr>
        <w:jc w:val="center"/>
        <w:rPr>
          <w:rFonts w:ascii="Times New Roman" w:hAnsi="Times New Roman"/>
          <w:b/>
          <w:sz w:val="28"/>
          <w:szCs w:val="28"/>
          <w:u w:val="single"/>
          <w:lang w:val="en-US"/>
        </w:rPr>
      </w:pPr>
      <w:r>
        <w:rPr>
          <w:rFonts w:ascii="Times New Roman" w:hAnsi="Times New Roman"/>
          <w:b/>
          <w:sz w:val="28"/>
          <w:szCs w:val="28"/>
          <w:u w:val="single"/>
          <w:lang w:val="en-US"/>
        </w:rPr>
        <w:t>RAPORT DE EXPERTIZĂ ANTICORUPŢIE</w:t>
      </w:r>
    </w:p>
    <w:p>
      <w:pPr>
        <w:spacing w:after="0" w:line="240" w:lineRule="auto"/>
        <w:rPr>
          <w:rFonts w:ascii="Times New Roman" w:hAnsi="Times New Roman"/>
          <w:b/>
          <w:sz w:val="28"/>
          <w:szCs w:val="28"/>
          <w:lang w:val="en-US"/>
        </w:rPr>
      </w:pPr>
      <w:r>
        <w:rPr>
          <w:rFonts w:ascii="Times New Roman" w:hAnsi="Times New Roman"/>
          <w:b/>
          <w:i/>
          <w:sz w:val="28"/>
          <w:szCs w:val="28"/>
          <w:lang w:val="en-US"/>
        </w:rPr>
        <w:t>la Proiectul de Decizie  nr.  2/8    din  15. 05.2023</w:t>
      </w:r>
      <w:r>
        <w:rPr>
          <w:rFonts w:ascii="Times New Roman" w:hAnsi="Times New Roman"/>
          <w:i/>
          <w:sz w:val="28"/>
          <w:szCs w:val="28"/>
          <w:lang w:val="en-US"/>
        </w:rPr>
        <w:t xml:space="preserve"> </w:t>
      </w:r>
      <w:r>
        <w:rPr>
          <w:rFonts w:ascii="Times New Roman" w:hAnsi="Times New Roman"/>
          <w:b/>
          <w:sz w:val="28"/>
          <w:szCs w:val="28"/>
          <w:lang w:val="en-US"/>
        </w:rPr>
        <w:t>” Cu privire la repartizarea   soldului   disponibil la 01.01.2023.”</w:t>
      </w:r>
    </w:p>
    <w:p>
      <w:pPr>
        <w:spacing w:after="0" w:line="240" w:lineRule="auto"/>
        <w:rPr>
          <w:rFonts w:ascii="Times New Roman" w:hAnsi="Times New Roman" w:eastAsia="Times New Roman"/>
          <w:b/>
          <w:sz w:val="28"/>
          <w:szCs w:val="28"/>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Prezentul raport de expertiză anticorupţie a fost întocmit de Autorul proiectului deciziei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Autor al proiectului de act normativ este primarul satului .</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Categoria actului normativ propus este  Decizie de consiliul local, ceea ce corespunde art.112 din Constituție, art.18 din Legea cu privire la actele normative nr.100 din 22.12.2017. </w:t>
      </w:r>
    </w:p>
    <w:p>
      <w:pPr>
        <w:spacing w:after="0" w:line="240" w:lineRule="auto"/>
        <w:jc w:val="both"/>
        <w:rPr>
          <w:rFonts w:ascii="Times New Roman" w:hAnsi="Times New Roman"/>
          <w:sz w:val="24"/>
          <w:szCs w:val="24"/>
          <w:lang w:val="en-US"/>
        </w:rPr>
      </w:pPr>
    </w:p>
    <w:p>
      <w:pPr>
        <w:numPr>
          <w:ilvl w:val="0"/>
          <w:numId w:val="7"/>
        </w:num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Analiza riscurilor de corupere a procesului de promovare a proiectului</w:t>
      </w:r>
    </w:p>
    <w:p>
      <w:pPr>
        <w:spacing w:after="0" w:line="240" w:lineRule="auto"/>
        <w:ind w:left="1080"/>
        <w:rPr>
          <w:rFonts w:ascii="Times New Roman" w:hAnsi="Times New Roman"/>
          <w:sz w:val="24"/>
          <w:szCs w:val="24"/>
          <w:lang w:val="en-US"/>
        </w:rPr>
      </w:pPr>
    </w:p>
    <w:p>
      <w:pPr>
        <w:spacing w:after="0" w:line="240" w:lineRule="auto"/>
        <w:jc w:val="center"/>
        <w:rPr>
          <w:rFonts w:ascii="Times New Roman" w:hAnsi="Times New Roman"/>
          <w:i/>
          <w:sz w:val="24"/>
          <w:szCs w:val="24"/>
          <w:lang w:val="en-US"/>
        </w:rPr>
      </w:pPr>
      <w:r>
        <w:rPr>
          <w:rFonts w:ascii="Times New Roman" w:hAnsi="Times New Roman"/>
          <w:i/>
          <w:sz w:val="24"/>
          <w:szCs w:val="24"/>
          <w:lang w:val="en-US"/>
        </w:rPr>
        <w:t>I.1. Pertinența autorului, categoriei propuse a actului și a procedurii de promovare a proiectului</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Potrivit art.8 al Legii nr.239/2008 privind transparenţa în procesul decisional, etapele asigurării transparenței sunt :</w:t>
      </w:r>
    </w:p>
    <w:p>
      <w:pPr>
        <w:pStyle w:val="7"/>
        <w:numPr>
          <w:ilvl w:val="0"/>
          <w:numId w:val="8"/>
        </w:numPr>
        <w:tabs>
          <w:tab w:val="left" w:pos="284"/>
        </w:tabs>
        <w:spacing w:after="120"/>
        <w:ind w:left="0" w:firstLine="0"/>
        <w:jc w:val="both"/>
        <w:rPr>
          <w:rFonts w:ascii="Times New Roman" w:hAnsi="Times New Roman"/>
          <w:sz w:val="24"/>
          <w:szCs w:val="24"/>
        </w:rPr>
      </w:pPr>
      <w:r>
        <w:rPr>
          <w:rFonts w:ascii="Times New Roman" w:hAnsi="Times New Roman"/>
          <w:sz w:val="24"/>
          <w:szCs w:val="24"/>
        </w:rPr>
        <w:t xml:space="preserve">Respectarea rigorilor de transparenţă în procesul decizional la promovarea proiectului transparenţei procesului de elaborare a deciziilor sunt: a) informarea publicului referitor la iniţierea elaborării deciziei; </w:t>
      </w:r>
    </w:p>
    <w:p>
      <w:pPr>
        <w:pStyle w:val="7"/>
        <w:tabs>
          <w:tab w:val="left" w:pos="284"/>
        </w:tabs>
        <w:spacing w:after="120"/>
        <w:ind w:left="0"/>
        <w:jc w:val="both"/>
        <w:rPr>
          <w:rFonts w:ascii="Times New Roman" w:hAnsi="Times New Roman"/>
          <w:sz w:val="24"/>
          <w:szCs w:val="24"/>
        </w:rPr>
      </w:pPr>
      <w:r>
        <w:rPr>
          <w:rFonts w:ascii="Times New Roman" w:hAnsi="Times New Roman"/>
          <w:b/>
          <w:sz w:val="24"/>
          <w:szCs w:val="24"/>
        </w:rPr>
        <w:t>b)</w:t>
      </w:r>
      <w:r>
        <w:rPr>
          <w:rFonts w:ascii="Times New Roman" w:hAnsi="Times New Roman"/>
          <w:sz w:val="24"/>
          <w:szCs w:val="24"/>
        </w:rPr>
        <w:t xml:space="preserve"> punerea la dispoziţia părţilor interesate a proiectului de decizie şi a materialelor aferente acestuia; </w:t>
      </w:r>
    </w:p>
    <w:p>
      <w:pPr>
        <w:pStyle w:val="7"/>
        <w:tabs>
          <w:tab w:val="left" w:pos="284"/>
        </w:tabs>
        <w:spacing w:after="120"/>
        <w:ind w:left="0"/>
        <w:jc w:val="both"/>
        <w:rPr>
          <w:rFonts w:ascii="Times New Roman" w:hAnsi="Times New Roman"/>
          <w:sz w:val="24"/>
          <w:szCs w:val="24"/>
        </w:rPr>
      </w:pPr>
      <w:r>
        <w:rPr>
          <w:rFonts w:ascii="Times New Roman" w:hAnsi="Times New Roman"/>
          <w:b/>
          <w:sz w:val="24"/>
          <w:szCs w:val="24"/>
        </w:rPr>
        <w:t>c)</w:t>
      </w:r>
      <w:r>
        <w:rPr>
          <w:rFonts w:ascii="Times New Roman" w:hAnsi="Times New Roman"/>
          <w:sz w:val="24"/>
          <w:szCs w:val="24"/>
        </w:rPr>
        <w:t xml:space="preserve"> consultarea cetăţenilor, asociaţiilor constituite în corespundere cu legea, altor părţi interesate; </w:t>
      </w:r>
    </w:p>
    <w:p>
      <w:pPr>
        <w:pStyle w:val="7"/>
        <w:tabs>
          <w:tab w:val="left" w:pos="284"/>
        </w:tabs>
        <w:spacing w:after="120"/>
        <w:ind w:left="0"/>
        <w:jc w:val="both"/>
        <w:rPr>
          <w:rFonts w:ascii="Times New Roman" w:hAnsi="Times New Roman"/>
          <w:sz w:val="24"/>
          <w:szCs w:val="24"/>
        </w:rPr>
      </w:pPr>
      <w:r>
        <w:rPr>
          <w:rFonts w:ascii="Times New Roman" w:hAnsi="Times New Roman"/>
          <w:b/>
          <w:sz w:val="24"/>
          <w:szCs w:val="24"/>
        </w:rPr>
        <w:t>d)</w:t>
      </w:r>
      <w:r>
        <w:rPr>
          <w:rFonts w:ascii="Times New Roman" w:hAnsi="Times New Roman"/>
          <w:sz w:val="24"/>
          <w:szCs w:val="24"/>
        </w:rPr>
        <w:t xml:space="preserve"> examinarea recomandărilor cetăţenilor, asociaţiilor constituite în corespundere cu legea, altor părţi interesate în procesul de elaborare a proiectelor de decizii; </w:t>
      </w:r>
    </w:p>
    <w:p>
      <w:pPr>
        <w:pStyle w:val="7"/>
        <w:tabs>
          <w:tab w:val="left" w:pos="284"/>
        </w:tabs>
        <w:spacing w:after="120"/>
        <w:ind w:left="0"/>
        <w:jc w:val="both"/>
        <w:rPr>
          <w:rFonts w:ascii="Times New Roman" w:hAnsi="Times New Roman"/>
          <w:sz w:val="24"/>
          <w:szCs w:val="24"/>
        </w:rPr>
      </w:pPr>
      <w:r>
        <w:rPr>
          <w:rFonts w:ascii="Times New Roman" w:hAnsi="Times New Roman"/>
          <w:b/>
          <w:sz w:val="24"/>
          <w:szCs w:val="24"/>
        </w:rPr>
        <w:t>e)</w:t>
      </w:r>
      <w:r>
        <w:rPr>
          <w:rFonts w:ascii="Times New Roman" w:hAnsi="Times New Roman"/>
          <w:sz w:val="24"/>
          <w:szCs w:val="24"/>
        </w:rPr>
        <w:t xml:space="preserve"> informarea publicului referitor la deciziile adoptate.". Totodată, art.10 din Legea nr.239/2008 stabileşte expres că „(1)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 </w:t>
      </w:r>
    </w:p>
    <w:p>
      <w:pPr>
        <w:spacing w:after="0"/>
        <w:jc w:val="both"/>
        <w:rPr>
          <w:rFonts w:ascii="Times New Roman" w:hAnsi="Times New Roman"/>
          <w:sz w:val="24"/>
          <w:szCs w:val="24"/>
          <w:lang w:val="en-US"/>
        </w:rPr>
      </w:pPr>
      <w:r>
        <w:rPr>
          <w:rFonts w:ascii="Times New Roman" w:hAnsi="Times New Roman"/>
          <w:i/>
          <w:sz w:val="24"/>
          <w:szCs w:val="24"/>
          <w:lang w:val="en-US"/>
        </w:rPr>
        <w:t>I.2.</w:t>
      </w:r>
      <w:r>
        <w:rPr>
          <w:rFonts w:ascii="Times New Roman" w:hAnsi="Times New Roman"/>
          <w:sz w:val="24"/>
          <w:szCs w:val="24"/>
          <w:lang w:val="en-US"/>
        </w:rPr>
        <w:t xml:space="preserve">  Proiectul de decizie şi materialele aferente acestuia se plasează pe panoul informativ a autorităţii publice cel puţin pentru perioada recepţionării şi examinării recomandărilor." În vederea respectării rigorilor privind transparenţa decizională, autorul proiectului a anunţat despre iniţierea elaborării deciziei prin intermediul plasării pe panoul informative.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În urma analizei proiectului prenotat, constatăm că promovarea acestuia se realizează cu respecatarea rigorilor impuse de Legea nr. 239/2008 privind transparenţa în procesul decizional. </w:t>
      </w:r>
    </w:p>
    <w:p>
      <w:pPr>
        <w:spacing w:after="0" w:line="240" w:lineRule="auto"/>
        <w:jc w:val="center"/>
        <w:rPr>
          <w:rFonts w:ascii="Times New Roman" w:hAnsi="Times New Roman"/>
          <w:i/>
          <w:sz w:val="24"/>
          <w:szCs w:val="24"/>
          <w:lang w:val="en-US"/>
        </w:rPr>
      </w:pPr>
    </w:p>
    <w:p>
      <w:pPr>
        <w:spacing w:after="0" w:line="240" w:lineRule="auto"/>
        <w:jc w:val="center"/>
        <w:rPr>
          <w:rFonts w:ascii="Times New Roman" w:hAnsi="Times New Roman"/>
          <w:i/>
          <w:sz w:val="24"/>
          <w:szCs w:val="24"/>
          <w:lang w:val="en-US"/>
        </w:rPr>
      </w:pPr>
      <w:r>
        <w:rPr>
          <w:rFonts w:ascii="Times New Roman" w:hAnsi="Times New Roman"/>
          <w:i/>
          <w:sz w:val="24"/>
          <w:szCs w:val="24"/>
          <w:lang w:val="en-US"/>
        </w:rPr>
        <w:t xml:space="preserve">I.3. Scopul anunţat și scopul real al proiectului </w:t>
      </w:r>
    </w:p>
    <w:p>
      <w:pPr>
        <w:spacing w:after="120" w:line="240" w:lineRule="auto"/>
        <w:rPr>
          <w:rFonts w:ascii="Times New Roman" w:hAnsi="Times New Roman" w:cs="Times New Roman"/>
          <w:b/>
          <w:sz w:val="24"/>
          <w:szCs w:val="24"/>
          <w:lang w:val="en-US"/>
        </w:rPr>
      </w:pPr>
      <w:r>
        <w:rPr>
          <w:rFonts w:ascii="Times New Roman" w:hAnsi="Times New Roman"/>
          <w:sz w:val="24"/>
          <w:szCs w:val="24"/>
          <w:lang w:val="en-US"/>
        </w:rPr>
        <w:t xml:space="preserve">      Potrivit notei informative, </w:t>
      </w:r>
      <w:r>
        <w:rPr>
          <w:rFonts w:ascii="Times New Roman" w:hAnsi="Times New Roman"/>
          <w:b/>
          <w:color w:val="000000"/>
          <w:sz w:val="24"/>
          <w:szCs w:val="24"/>
          <w:lang w:val="en-US"/>
        </w:rPr>
        <w:t xml:space="preserve">Scopul principal al proiectului este alocarea surselor financiare </w:t>
      </w:r>
      <w:r>
        <w:rPr>
          <w:rFonts w:ascii="Times New Roman" w:hAnsi="Times New Roman" w:cs="Times New Roman"/>
          <w:b/>
          <w:sz w:val="24"/>
          <w:szCs w:val="24"/>
          <w:lang w:val="en-US"/>
        </w:rPr>
        <w:t>pentru lucrări  de reparaţie a străzilor din localitate.</w:t>
      </w:r>
    </w:p>
    <w:p>
      <w:pPr>
        <w:spacing w:after="120" w:line="240" w:lineRule="auto"/>
        <w:rPr>
          <w:rFonts w:ascii="Times New Roman" w:hAnsi="Times New Roman"/>
          <w:b/>
          <w:color w:val="000000"/>
          <w:sz w:val="24"/>
          <w:szCs w:val="24"/>
          <w:lang w:val="en-US"/>
        </w:rPr>
      </w:pPr>
      <w:r>
        <w:rPr>
          <w:rFonts w:ascii="Times New Roman" w:hAnsi="Times New Roman"/>
          <w:b/>
          <w:color w:val="000000"/>
          <w:sz w:val="24"/>
          <w:szCs w:val="24"/>
          <w:lang w:val="en-US"/>
        </w:rPr>
        <w:t>Se urmăresc următoarele obiective :</w:t>
      </w:r>
    </w:p>
    <w:p>
      <w:pPr>
        <w:numPr>
          <w:ilvl w:val="0"/>
          <w:numId w:val="9"/>
        </w:numPr>
        <w:spacing w:after="120" w:line="24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administrarea şi gestionarea eficientă a finanţelor publice;</w:t>
      </w:r>
    </w:p>
    <w:p>
      <w:pPr>
        <w:numPr>
          <w:ilvl w:val="0"/>
          <w:numId w:val="9"/>
        </w:numPr>
        <w:spacing w:after="120" w:line="24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accentuarea responsabilităţilor conducătorului APL pentru administrarea bugetului   local.</w:t>
      </w:r>
    </w:p>
    <w:p>
      <w:pPr>
        <w:jc w:val="both"/>
        <w:rPr>
          <w:rFonts w:ascii="Times New Roman" w:hAnsi="Times New Roman"/>
          <w:b/>
          <w:sz w:val="24"/>
          <w:szCs w:val="24"/>
          <w:lang w:val="en-US"/>
        </w:rPr>
      </w:pPr>
      <w:r>
        <w:rPr>
          <w:rFonts w:ascii="Times New Roman" w:hAnsi="Times New Roman"/>
          <w:b/>
          <w:sz w:val="24"/>
          <w:szCs w:val="24"/>
          <w:lang w:val="en-US"/>
        </w:rPr>
        <w:t xml:space="preserve">        Analizând proiectul, constatăm că scopul declarat de autor în nota informativă corespunde prevederilor acestuia. </w:t>
      </w:r>
    </w:p>
    <w:p>
      <w:pPr>
        <w:jc w:val="center"/>
        <w:rPr>
          <w:rFonts w:ascii="Times New Roman" w:hAnsi="Times New Roman"/>
          <w:b/>
          <w:i/>
          <w:sz w:val="24"/>
          <w:szCs w:val="24"/>
          <w:lang w:val="en-US"/>
        </w:rPr>
      </w:pPr>
      <w:r>
        <w:rPr>
          <w:rFonts w:ascii="Times New Roman" w:hAnsi="Times New Roman"/>
          <w:b/>
          <w:i/>
          <w:sz w:val="24"/>
          <w:szCs w:val="24"/>
          <w:lang w:val="en-US"/>
        </w:rPr>
        <w:t>I.4. Interesul public şi interesele private promovate prin proiect</w:t>
      </w:r>
    </w:p>
    <w:p>
      <w:pPr>
        <w:spacing w:after="0" w:line="240" w:lineRule="auto"/>
        <w:rPr>
          <w:rFonts w:ascii="Times New Roman" w:hAnsi="Times New Roman"/>
          <w:sz w:val="24"/>
          <w:szCs w:val="24"/>
          <w:lang w:val="en-US"/>
        </w:rPr>
      </w:pPr>
      <w:r>
        <w:rPr>
          <w:rFonts w:ascii="Times New Roman" w:hAnsi="Times New Roman"/>
          <w:sz w:val="24"/>
          <w:szCs w:val="24"/>
          <w:lang w:val="en-US"/>
        </w:rPr>
        <w:t xml:space="preserve">      Textul proiectului  prevede   repartizarea   soldului   disponibil  la 01.01.2023.</w:t>
      </w:r>
    </w:p>
    <w:p>
      <w:pPr>
        <w:rPr>
          <w:rFonts w:ascii="Times New Roman" w:hAnsi="Times New Roman"/>
          <w:sz w:val="24"/>
          <w:szCs w:val="24"/>
          <w:lang w:val="en-US"/>
        </w:rPr>
      </w:pPr>
      <w:r>
        <w:rPr>
          <w:rFonts w:ascii="Times New Roman" w:hAnsi="Times New Roman"/>
          <w:sz w:val="24"/>
          <w:szCs w:val="24"/>
          <w:lang w:val="en-US"/>
        </w:rPr>
        <w:t>Proiectul de act normative  a fost consultat cu părţile interesate, a fost plasat pe pagina web a Primăriei  Grozeşti.</w:t>
      </w:r>
    </w:p>
    <w:p>
      <w:pPr>
        <w:jc w:val="both"/>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 xml:space="preserve">Aşadar, constatăm că promovarea proiectului se realizează cu respectarea interesului public. </w:t>
      </w:r>
    </w:p>
    <w:p>
      <w:pPr>
        <w:spacing w:line="240" w:lineRule="auto"/>
        <w:jc w:val="center"/>
        <w:rPr>
          <w:rFonts w:ascii="Times New Roman" w:hAnsi="Times New Roman"/>
          <w:b/>
          <w:i/>
          <w:sz w:val="24"/>
          <w:szCs w:val="24"/>
          <w:lang w:val="en-US"/>
        </w:rPr>
      </w:pPr>
      <w:r>
        <w:rPr>
          <w:rFonts w:ascii="Times New Roman" w:hAnsi="Times New Roman"/>
          <w:b/>
          <w:i/>
          <w:sz w:val="24"/>
          <w:szCs w:val="24"/>
          <w:lang w:val="en-US"/>
        </w:rPr>
        <w:t>I.5. Justificarea soluțiilor proiectului</w:t>
      </w:r>
    </w:p>
    <w:p>
      <w:pPr>
        <w:spacing w:line="240" w:lineRule="auto"/>
        <w:jc w:val="center"/>
        <w:rPr>
          <w:rFonts w:ascii="Times New Roman" w:hAnsi="Times New Roman"/>
          <w:b/>
          <w:i/>
          <w:sz w:val="24"/>
          <w:szCs w:val="24"/>
          <w:lang w:val="en-US"/>
        </w:rPr>
      </w:pPr>
      <w:r>
        <w:rPr>
          <w:rFonts w:ascii="Times New Roman" w:hAnsi="Times New Roman"/>
          <w:b/>
          <w:i/>
          <w:sz w:val="24"/>
          <w:szCs w:val="24"/>
          <w:lang w:val="en-US"/>
        </w:rPr>
        <w:t>I.5.1. Suficienţa argumentării din nota informativă.</w:t>
      </w:r>
    </w:p>
    <w:p>
      <w:pPr>
        <w:tabs>
          <w:tab w:val="left" w:pos="0"/>
        </w:tabs>
        <w:spacing w:after="0"/>
        <w:rPr>
          <w:rFonts w:ascii="Times New Roman" w:hAnsi="Times New Roman"/>
          <w:sz w:val="24"/>
          <w:szCs w:val="24"/>
          <w:lang w:val="en-US"/>
        </w:rPr>
      </w:pPr>
      <w:r>
        <w:rPr>
          <w:rFonts w:ascii="Times New Roman" w:hAnsi="Times New Roman"/>
          <w:sz w:val="24"/>
          <w:szCs w:val="24"/>
          <w:lang w:val="en-US"/>
        </w:rPr>
        <w:t xml:space="preserve">     În conformitate cu art.21 din Legea nr.100 din 22.12.2017 cu privire la actele normative:</w:t>
      </w:r>
      <w:r>
        <w:rPr>
          <w:color w:val="000000"/>
          <w:sz w:val="24"/>
          <w:szCs w:val="24"/>
          <w:lang w:val="en-US"/>
        </w:rPr>
        <w:t xml:space="preserve"> </w:t>
      </w:r>
      <w:r>
        <w:rPr>
          <w:rFonts w:ascii="Times New Roman" w:hAnsi="Times New Roman"/>
          <w:color w:val="000000"/>
          <w:sz w:val="24"/>
          <w:szCs w:val="24"/>
          <w:lang w:val="en-US"/>
        </w:rPr>
        <w:t>Proiectul unui act normativ se elaborează în cîteva etape consecutive, după cum urmează: </w:t>
      </w:r>
      <w:r>
        <w:rPr>
          <w:rFonts w:ascii="Times New Roman" w:hAnsi="Times New Roman"/>
          <w:color w:val="000000"/>
          <w:sz w:val="24"/>
          <w:szCs w:val="24"/>
          <w:lang w:val="en-US"/>
        </w:rPr>
        <w:br w:type="textWrapping"/>
      </w:r>
      <w:r>
        <w:rPr>
          <w:rFonts w:ascii="Times New Roman" w:hAnsi="Times New Roman"/>
          <w:color w:val="000000"/>
          <w:sz w:val="24"/>
          <w:szCs w:val="24"/>
          <w:lang w:val="en-US"/>
        </w:rPr>
        <w:t>    a) desemnarea persoanei responsabile sau, după caz, formarea grupului de lucru care va elabora proiectul, precum şi asigurarea suportului tehnic, organizatoric şi financiar al procesului de elaborare; </w:t>
      </w:r>
      <w:r>
        <w:rPr>
          <w:rFonts w:ascii="Times New Roman" w:hAnsi="Times New Roman"/>
          <w:color w:val="000000"/>
          <w:sz w:val="24"/>
          <w:szCs w:val="24"/>
          <w:lang w:val="en-US"/>
        </w:rPr>
        <w:br w:type="textWrapping"/>
      </w:r>
      <w:r>
        <w:rPr>
          <w:rFonts w:ascii="Times New Roman" w:hAnsi="Times New Roman"/>
          <w:color w:val="000000"/>
          <w:sz w:val="24"/>
          <w:szCs w:val="24"/>
          <w:lang w:val="en-US"/>
        </w:rPr>
        <w:t>    b) determinarea categoriei, conceptului şi stabilirea structurii actului normativ; </w:t>
      </w:r>
      <w:r>
        <w:rPr>
          <w:rFonts w:ascii="Times New Roman" w:hAnsi="Times New Roman"/>
          <w:color w:val="000000"/>
          <w:sz w:val="24"/>
          <w:szCs w:val="24"/>
          <w:lang w:val="en-US"/>
        </w:rPr>
        <w:br w:type="textWrapping"/>
      </w:r>
      <w:r>
        <w:rPr>
          <w:rFonts w:ascii="Times New Roman" w:hAnsi="Times New Roman"/>
          <w:color w:val="000000"/>
          <w:sz w:val="24"/>
          <w:szCs w:val="24"/>
          <w:lang w:val="en-US"/>
        </w:rPr>
        <w:t>    c) elaborarea versiunii iniţiale a proiectului şi întocmirea notei informative;</w:t>
      </w:r>
      <w:r>
        <w:rPr>
          <w:rFonts w:ascii="Times New Roman" w:hAnsi="Times New Roman"/>
          <w:color w:val="000000"/>
          <w:sz w:val="24"/>
          <w:szCs w:val="24"/>
          <w:lang w:val="en-US"/>
        </w:rPr>
        <w:br w:type="textWrapping"/>
      </w:r>
      <w:r>
        <w:rPr>
          <w:rFonts w:ascii="Times New Roman" w:hAnsi="Times New Roman"/>
          <w:color w:val="000000"/>
          <w:sz w:val="24"/>
          <w:szCs w:val="24"/>
          <w:lang w:val="en-US"/>
        </w:rPr>
        <w:t>    d) întocmirea tabelului de concordanţă, în cazul în care prin proiectul actului normativ se urmăreşte armonizarea legislaţiei naţionale cu legislaţia Uniunii Europene; </w:t>
      </w:r>
      <w:r>
        <w:rPr>
          <w:rFonts w:ascii="Times New Roman" w:hAnsi="Times New Roman"/>
          <w:color w:val="000000"/>
          <w:sz w:val="24"/>
          <w:szCs w:val="24"/>
          <w:lang w:val="en-US"/>
        </w:rPr>
        <w:br w:type="textWrapping"/>
      </w:r>
      <w:r>
        <w:rPr>
          <w:rFonts w:ascii="Times New Roman" w:hAnsi="Times New Roman"/>
          <w:color w:val="000000"/>
          <w:sz w:val="24"/>
          <w:szCs w:val="24"/>
          <w:lang w:val="en-US"/>
        </w:rPr>
        <w:t>    e) consultarea publică, avizarea proiectului actului normativ de către autorităţile a căror competenţă are tangenţă directă sau indirectă cu obiectul de reglementare a proiectului actului normativ, efectuarea expertizelor, inclusiv expertiza anticorupţie, expertiza juridică şi, după caz, expertiza de compatibilitate cu legislaţia Uniunii Europene şi expertiza grupului de lucru al Comisiei de stat pentru reglementarea activităţii de întreprinzător; </w:t>
      </w:r>
      <w:r>
        <w:rPr>
          <w:rFonts w:ascii="Times New Roman" w:hAnsi="Times New Roman"/>
          <w:color w:val="000000"/>
          <w:sz w:val="24"/>
          <w:szCs w:val="24"/>
          <w:lang w:val="en-US"/>
        </w:rPr>
        <w:br w:type="textWrapping"/>
      </w:r>
      <w:r>
        <w:rPr>
          <w:rFonts w:ascii="Times New Roman" w:hAnsi="Times New Roman"/>
          <w:color w:val="000000"/>
          <w:sz w:val="24"/>
          <w:szCs w:val="24"/>
          <w:lang w:val="en-US"/>
        </w:rPr>
        <w:t>    f) întocmirea sintezei obiecţiilor și propunerilor autorităților publice şi, după caz, a sintezei recomandărilor reprezentanţilor societăţii civile; </w:t>
      </w:r>
      <w:r>
        <w:rPr>
          <w:rFonts w:ascii="Times New Roman" w:hAnsi="Times New Roman"/>
          <w:color w:val="000000"/>
          <w:sz w:val="24"/>
          <w:szCs w:val="24"/>
          <w:lang w:val="en-US"/>
        </w:rPr>
        <w:br w:type="textWrapping"/>
      </w:r>
      <w:r>
        <w:rPr>
          <w:rFonts w:ascii="Times New Roman" w:hAnsi="Times New Roman"/>
          <w:color w:val="000000"/>
          <w:sz w:val="24"/>
          <w:szCs w:val="24"/>
          <w:lang w:val="en-US"/>
        </w:rPr>
        <w:t>    g) elaborarea versiunii finale a proiectului de act normativ. </w:t>
      </w:r>
      <w:r>
        <w:rPr>
          <w:rFonts w:ascii="Times New Roman" w:hAnsi="Times New Roman"/>
          <w:color w:val="000000"/>
          <w:sz w:val="24"/>
          <w:szCs w:val="24"/>
          <w:lang w:val="en-US"/>
        </w:rPr>
        <w:br w:type="textWrapping"/>
      </w:r>
      <w:r>
        <w:rPr>
          <w:rFonts w:ascii="Times New Roman" w:hAnsi="Times New Roman"/>
          <w:color w:val="000000"/>
          <w:sz w:val="24"/>
          <w:szCs w:val="24"/>
          <w:lang w:val="en-US"/>
        </w:rPr>
        <w:t>    (2) Procedura şi termenele privind elaborarea, avizarea, efectuarea expertizelor şi definitivarea proiectelor actelor normative, care sînt prezentate spre examinare Guvernului, sînt stabilite de către Guvern.</w:t>
      </w:r>
    </w:p>
    <w:p>
      <w:pPr>
        <w:spacing w:after="0"/>
        <w:jc w:val="center"/>
        <w:rPr>
          <w:rFonts w:ascii="Times New Roman" w:hAnsi="Times New Roman"/>
          <w:b/>
          <w:i/>
          <w:sz w:val="24"/>
          <w:szCs w:val="24"/>
          <w:lang w:val="en-US"/>
        </w:rPr>
      </w:pPr>
      <w:r>
        <w:rPr>
          <w:rFonts w:ascii="Times New Roman" w:hAnsi="Times New Roman"/>
          <w:b/>
          <w:i/>
          <w:sz w:val="24"/>
          <w:szCs w:val="24"/>
          <w:lang w:val="en-US"/>
        </w:rPr>
        <w:t>I.5.2. Argumentarea economică-financiară.</w:t>
      </w:r>
    </w:p>
    <w:p>
      <w:pPr>
        <w:spacing w:after="0"/>
        <w:jc w:val="both"/>
        <w:rPr>
          <w:rFonts w:ascii="Times New Roman" w:hAnsi="Times New Roman"/>
          <w:sz w:val="24"/>
          <w:szCs w:val="24"/>
          <w:lang w:val="en-US"/>
        </w:rPr>
      </w:pPr>
      <w:r>
        <w:rPr>
          <w:rFonts w:ascii="Times New Roman" w:hAnsi="Times New Roman"/>
          <w:sz w:val="24"/>
          <w:szCs w:val="24"/>
          <w:lang w:val="en-US"/>
        </w:rPr>
        <w:t xml:space="preserve">       Conform art.30 lit.e) al Legii nr.100/2017 cu privire la actele normative, nota informativă trebuie să conţină „e) fundamentarea economico-financiară în cazul în care realizarea noilor reglementări necesită cheltuieli financiare şi de altă natură".      </w:t>
      </w:r>
    </w:p>
    <w:p>
      <w:pPr>
        <w:jc w:val="both"/>
        <w:rPr>
          <w:rFonts w:ascii="Times New Roman" w:hAnsi="Times New Roman"/>
          <w:sz w:val="24"/>
          <w:szCs w:val="24"/>
          <w:lang w:val="en-US"/>
        </w:rPr>
      </w:pPr>
      <w:r>
        <w:rPr>
          <w:rFonts w:ascii="Times New Roman" w:hAnsi="Times New Roman"/>
          <w:sz w:val="24"/>
          <w:szCs w:val="24"/>
          <w:lang w:val="en-US"/>
        </w:rPr>
        <w:t xml:space="preserve">       Potrivit notei informative: „Implementarea prevederilor din proiect necesită alocarea unor mijloace financiare și indică sursa - soldul disponibil la 01.01.2023. </w:t>
      </w:r>
    </w:p>
    <w:p>
      <w:pPr>
        <w:numPr>
          <w:ilvl w:val="0"/>
          <w:numId w:val="7"/>
        </w:numPr>
        <w:jc w:val="center"/>
        <w:rPr>
          <w:rFonts w:ascii="Times New Roman" w:hAnsi="Times New Roman"/>
          <w:b/>
          <w:i/>
          <w:sz w:val="24"/>
          <w:szCs w:val="24"/>
          <w:lang w:val="en-US"/>
        </w:rPr>
      </w:pPr>
      <w:r>
        <w:rPr>
          <w:rFonts w:ascii="Times New Roman" w:hAnsi="Times New Roman"/>
          <w:b/>
          <w:i/>
          <w:sz w:val="24"/>
          <w:szCs w:val="24"/>
          <w:lang w:val="en-US"/>
        </w:rPr>
        <w:t>Analiza generală a factorilor de risc ale proiectului</w:t>
      </w:r>
    </w:p>
    <w:p>
      <w:pPr>
        <w:ind w:left="360"/>
        <w:jc w:val="center"/>
        <w:rPr>
          <w:rFonts w:ascii="Times New Roman" w:hAnsi="Times New Roman"/>
          <w:b/>
          <w:i/>
          <w:sz w:val="24"/>
          <w:szCs w:val="24"/>
          <w:lang w:val="en-US"/>
        </w:rPr>
      </w:pPr>
      <w:r>
        <w:rPr>
          <w:rFonts w:ascii="Times New Roman" w:hAnsi="Times New Roman"/>
          <w:b/>
          <w:i/>
          <w:sz w:val="24"/>
          <w:szCs w:val="24"/>
          <w:lang w:val="en-US"/>
        </w:rPr>
        <w:t>II.1. Limbajul proiectului</w:t>
      </w:r>
    </w:p>
    <w:p>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       Potrivit art.54 al Legii nr.100 din 22.12.2017 cu privire la actele normative „textul proiectului de act normativ se elaborează cu respectarea următoarelor reguli:</w:t>
      </w:r>
    </w:p>
    <w:p>
      <w:pPr>
        <w:pStyle w:val="7"/>
        <w:numPr>
          <w:ilvl w:val="0"/>
          <w:numId w:val="10"/>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A fost  expus în limbă simplă, clară şi concisă;</w:t>
      </w:r>
    </w:p>
    <w:p>
      <w:pPr>
        <w:pStyle w:val="7"/>
        <w:numPr>
          <w:ilvl w:val="0"/>
          <w:numId w:val="10"/>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Nu s-au folosit  folosit neologisme, doar  sinonime de largă răspândire;</w:t>
      </w:r>
    </w:p>
    <w:p>
      <w:pPr>
        <w:pStyle w:val="7"/>
        <w:numPr>
          <w:ilvl w:val="0"/>
          <w:numId w:val="10"/>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S-au folosit noţiuni monosemantice;</w:t>
      </w:r>
    </w:p>
    <w:p>
      <w:pPr>
        <w:pStyle w:val="7"/>
        <w:numPr>
          <w:ilvl w:val="0"/>
          <w:numId w:val="10"/>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Termenii de specialitate au fost  utilizaţi numai  în domeniul de activitate la care se referă proiectu;</w:t>
      </w:r>
    </w:p>
    <w:p>
      <w:pPr>
        <w:pStyle w:val="7"/>
        <w:numPr>
          <w:ilvl w:val="0"/>
          <w:numId w:val="10"/>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În limbajul normativ aceleaşi noţiuni se exprimă numai prin aceiaşi termini.</w:t>
      </w:r>
    </w:p>
    <w:p>
      <w:pPr>
        <w:pStyle w:val="7"/>
        <w:tabs>
          <w:tab w:val="left" w:pos="284"/>
        </w:tabs>
        <w:spacing w:line="240" w:lineRule="auto"/>
        <w:ind w:left="142"/>
        <w:jc w:val="both"/>
        <w:rPr>
          <w:rFonts w:ascii="Times New Roman" w:hAnsi="Times New Roman"/>
          <w:sz w:val="24"/>
          <w:szCs w:val="24"/>
        </w:rPr>
      </w:pPr>
      <w:r>
        <w:rPr>
          <w:rFonts w:ascii="Times New Roman" w:hAnsi="Times New Roman"/>
          <w:sz w:val="24"/>
          <w:szCs w:val="24"/>
        </w:rPr>
        <w:t xml:space="preserve"> Textul proiectului corespunde tehnicii legislative şi normative, regulilor limbajului şi expresiei juridice.</w:t>
      </w:r>
    </w:p>
    <w:p>
      <w:pPr>
        <w:ind w:left="360"/>
        <w:jc w:val="center"/>
        <w:rPr>
          <w:rFonts w:ascii="Times New Roman" w:hAnsi="Times New Roman"/>
          <w:b/>
          <w:i/>
          <w:sz w:val="24"/>
          <w:szCs w:val="24"/>
          <w:lang w:val="en-US"/>
        </w:rPr>
      </w:pPr>
      <w:r>
        <w:rPr>
          <w:rFonts w:ascii="Times New Roman" w:hAnsi="Times New Roman"/>
          <w:b/>
          <w:i/>
          <w:sz w:val="24"/>
          <w:szCs w:val="24"/>
          <w:lang w:val="en-US"/>
        </w:rPr>
        <w:t>II.2. Coerența legislativă a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Textul proiectului nu conţine conflicte dintre prevederile acestuia cu reglementările altor acte legislative sau normative în vigoare. </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Proiectul a fost elaborate în </w:t>
      </w:r>
      <w:r>
        <w:rPr>
          <w:rFonts w:ascii="Times New Roman" w:hAnsi="Times New Roman" w:eastAsia="Times New Roman"/>
          <w:sz w:val="24"/>
          <w:szCs w:val="24"/>
          <w:lang w:val="en-US"/>
        </w:rPr>
        <w:t xml:space="preserve">conformitate cu art. 14, p. 2, lit (n) din Legea privind Administraţia publică locală nr. 436-XVI din 28.12.2006, Legea finanţelor publice locale nr. 397-XV din 16.10.2003,art.14 alin. (2) lit (n) , </w:t>
      </w:r>
      <w:r>
        <w:rPr>
          <w:rFonts w:ascii="Times New Roman" w:hAnsi="Times New Roman"/>
          <w:sz w:val="24"/>
          <w:szCs w:val="24"/>
          <w:lang w:val="en-US"/>
        </w:rPr>
        <w:t xml:space="preserve">Legea </w:t>
      </w:r>
      <w:r>
        <w:rPr>
          <w:rFonts w:ascii="Times New Roman" w:hAnsi="Times New Roman"/>
          <w:sz w:val="24"/>
          <w:szCs w:val="24"/>
        </w:rPr>
        <w:t>nr</w:t>
      </w:r>
      <w:r>
        <w:rPr>
          <w:rFonts w:ascii="Times New Roman" w:hAnsi="Times New Roman"/>
          <w:sz w:val="24"/>
          <w:szCs w:val="24"/>
          <w:lang w:val="en-US"/>
        </w:rPr>
        <w:t>.181 din 25 iulie 2014 privind finanţele publice şi responsabilităţile bugetar fiscale.</w:t>
      </w:r>
    </w:p>
    <w:p>
      <w:pPr>
        <w:spacing w:after="0" w:line="240" w:lineRule="auto"/>
        <w:jc w:val="both"/>
        <w:rPr>
          <w:rFonts w:ascii="Times New Roman" w:hAnsi="Times New Roman"/>
          <w:sz w:val="24"/>
          <w:szCs w:val="24"/>
          <w:lang w:val="en-US"/>
        </w:rPr>
      </w:pPr>
    </w:p>
    <w:p>
      <w:pPr>
        <w:ind w:left="360"/>
        <w:jc w:val="center"/>
        <w:rPr>
          <w:rFonts w:ascii="Times New Roman" w:hAnsi="Times New Roman"/>
          <w:b/>
          <w:i/>
          <w:sz w:val="24"/>
          <w:szCs w:val="24"/>
          <w:lang w:val="en-US"/>
        </w:rPr>
      </w:pPr>
      <w:r>
        <w:rPr>
          <w:rFonts w:ascii="Times New Roman" w:hAnsi="Times New Roman"/>
          <w:b/>
          <w:i/>
          <w:sz w:val="24"/>
          <w:szCs w:val="24"/>
          <w:lang w:val="en-US"/>
        </w:rPr>
        <w:t>II.3. Atingeri ale drepturilor omului care pot fi cauzate la aplicarea proiectului.</w:t>
      </w:r>
    </w:p>
    <w:p>
      <w:pPr>
        <w:jc w:val="both"/>
        <w:rPr>
          <w:rFonts w:ascii="Times New Roman" w:hAnsi="Times New Roman"/>
          <w:sz w:val="24"/>
          <w:szCs w:val="24"/>
          <w:lang w:val="en-US"/>
        </w:rPr>
      </w:pPr>
      <w:r>
        <w:rPr>
          <w:rFonts w:ascii="Times New Roman" w:hAnsi="Times New Roman"/>
          <w:sz w:val="24"/>
          <w:szCs w:val="24"/>
          <w:lang w:val="en-US"/>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b/>
          <w:i/>
          <w:sz w:val="24"/>
          <w:szCs w:val="24"/>
          <w:lang w:val="zh-CN"/>
        </w:rPr>
      </w:pPr>
      <w:r>
        <w:rPr>
          <w:rFonts w:ascii="Times New Roman" w:hAnsi="Times New Roman"/>
          <w:b/>
          <w:i/>
          <w:sz w:val="24"/>
          <w:szCs w:val="24"/>
          <w:lang w:val="en-US"/>
        </w:rPr>
        <w:t xml:space="preserve">III. </w:t>
      </w:r>
      <w:r>
        <w:rPr>
          <w:rFonts w:ascii="Times New Roman" w:hAnsi="Times New Roman"/>
          <w:b/>
          <w:i/>
          <w:sz w:val="24"/>
          <w:szCs w:val="24"/>
        </w:rPr>
        <w:t>Concluzia expertizei</w:t>
      </w:r>
    </w:p>
    <w:p>
      <w:pPr>
        <w:rPr>
          <w:rFonts w:ascii="Times New Roman" w:hAnsi="Times New Roman"/>
          <w:b/>
          <w:color w:val="000000"/>
          <w:sz w:val="24"/>
          <w:szCs w:val="24"/>
          <w:lang w:val="en-US"/>
        </w:rPr>
      </w:pPr>
      <w:r>
        <w:rPr>
          <w:rFonts w:ascii="Times New Roman" w:hAnsi="Times New Roman"/>
          <w:sz w:val="24"/>
          <w:szCs w:val="24"/>
          <w:lang w:val="en-US"/>
        </w:rPr>
        <w:t xml:space="preserve">Proiectul deciziei </w:t>
      </w:r>
      <w:r>
        <w:rPr>
          <w:rFonts w:ascii="Times New Roman" w:hAnsi="Times New Roman"/>
          <w:b/>
          <w:i/>
          <w:sz w:val="24"/>
          <w:szCs w:val="24"/>
          <w:lang w:val="en-US"/>
        </w:rPr>
        <w:t>nr. 2/ 8 din 15.03.2023</w:t>
      </w:r>
      <w:r>
        <w:rPr>
          <w:rFonts w:ascii="Times New Roman" w:hAnsi="Times New Roman"/>
          <w:i/>
          <w:sz w:val="24"/>
          <w:szCs w:val="24"/>
          <w:lang w:val="en-US"/>
        </w:rPr>
        <w:t xml:space="preserve"> </w:t>
      </w:r>
      <w:r>
        <w:rPr>
          <w:rFonts w:ascii="Times New Roman" w:hAnsi="Times New Roman"/>
          <w:b/>
          <w:sz w:val="24"/>
          <w:szCs w:val="24"/>
          <w:lang w:val="en-US"/>
        </w:rPr>
        <w:t>”Cu privire la repartizarea  soldului   disponibil la 01.01.2023</w:t>
      </w:r>
      <w:r>
        <w:rPr>
          <w:rFonts w:ascii="Times New Roman" w:hAnsi="Times New Roman"/>
          <w:b/>
          <w:sz w:val="28"/>
          <w:szCs w:val="28"/>
          <w:lang w:val="en-US"/>
        </w:rPr>
        <w:t xml:space="preserve">” </w:t>
      </w:r>
      <w:r>
        <w:rPr>
          <w:rFonts w:ascii="Times New Roman" w:hAnsi="Times New Roman"/>
          <w:sz w:val="24"/>
          <w:szCs w:val="24"/>
          <w:lang w:val="en-US"/>
        </w:rPr>
        <w:t xml:space="preserve">potrivit autorului, are drept scop principal  </w:t>
      </w:r>
      <w:r>
        <w:rPr>
          <w:rFonts w:ascii="Times New Roman" w:hAnsi="Times New Roman"/>
          <w:color w:val="000000"/>
          <w:sz w:val="24"/>
          <w:szCs w:val="24"/>
          <w:lang w:val="en-US"/>
        </w:rPr>
        <w:t xml:space="preserve">alocarea surselor financiare </w:t>
      </w:r>
      <w:r>
        <w:rPr>
          <w:rFonts w:ascii="Times New Roman" w:hAnsi="Times New Roman" w:cs="Times New Roman"/>
          <w:sz w:val="24"/>
          <w:szCs w:val="24"/>
          <w:lang w:val="en-US"/>
        </w:rPr>
        <w:t xml:space="preserve">pentru  lucrări  de reparaţie a străzilor din localitate  avînd  ca obiective  </w:t>
      </w:r>
      <w:r>
        <w:rPr>
          <w:rFonts w:ascii="Times New Roman" w:hAnsi="Times New Roman"/>
          <w:color w:val="000000"/>
          <w:sz w:val="24"/>
          <w:szCs w:val="24"/>
          <w:lang w:val="en-US"/>
        </w:rPr>
        <w:t>administrarea  şi  gestionarea  eficientă  a  finanţele  publice  prin  accentuarea  responsabilităţilor  conducătorului  APL.</w:t>
      </w:r>
    </w:p>
    <w:p>
      <w:pPr>
        <w:spacing w:after="0" w:line="240" w:lineRule="auto"/>
        <w:rPr>
          <w:rFonts w:ascii="Times New Roman" w:hAnsi="Times New Roman"/>
          <w:color w:val="000000"/>
          <w:sz w:val="24"/>
          <w:szCs w:val="24"/>
          <w:lang w:val="en-US"/>
        </w:rPr>
      </w:pPr>
    </w:p>
    <w:p>
      <w:pPr>
        <w:spacing w:after="0"/>
        <w:rPr>
          <w:rFonts w:ascii="Times New Roman" w:hAnsi="Times New Roman"/>
          <w:sz w:val="24"/>
          <w:szCs w:val="24"/>
          <w:lang w:val="en-US"/>
        </w:rPr>
      </w:pPr>
      <w:r>
        <w:rPr>
          <w:rFonts w:ascii="Times New Roman" w:hAnsi="Times New Roman"/>
          <w:sz w:val="24"/>
          <w:szCs w:val="24"/>
          <w:lang w:val="en-US"/>
        </w:rPr>
        <w:t>În nota informativă se menționează, că  proiectul în cauză nu conţine elemente de corupţie, ci are ca efect direct respectarea legislației în vigoare.</w:t>
      </w:r>
    </w:p>
    <w:p>
      <w:pPr>
        <w:spacing w:after="0"/>
        <w:rPr>
          <w:rFonts w:ascii="Times New Roman" w:hAnsi="Times New Roman"/>
          <w:sz w:val="24"/>
          <w:szCs w:val="24"/>
          <w:lang w:val="en-US"/>
        </w:rPr>
      </w:pPr>
    </w:p>
    <w:p>
      <w:pPr>
        <w:spacing w:after="0"/>
        <w:rPr>
          <w:rFonts w:ascii="Times New Roman" w:hAnsi="Times New Roman"/>
          <w:sz w:val="24"/>
          <w:szCs w:val="24"/>
          <w:lang w:val="en-US"/>
        </w:rPr>
      </w:pPr>
    </w:p>
    <w:p>
      <w:pPr>
        <w:spacing w:after="0"/>
        <w:rPr>
          <w:rFonts w:ascii="Times New Roman" w:hAnsi="Times New Roman"/>
          <w:sz w:val="24"/>
          <w:szCs w:val="24"/>
          <w:lang w:val="en-US"/>
        </w:rPr>
      </w:pPr>
      <w:r>
        <w:rPr>
          <w:rFonts w:ascii="Times New Roman" w:hAnsi="Times New Roman"/>
          <w:sz w:val="24"/>
          <w:szCs w:val="24"/>
          <w:lang w:val="en-US"/>
        </w:rPr>
        <w:t>Expertizat:                                        Tofan  Serghei , primar</w:t>
      </w:r>
    </w:p>
    <w:p>
      <w:pPr>
        <w:spacing w:after="0"/>
        <w:rPr>
          <w:rFonts w:ascii="Times New Roman" w:hAnsi="Times New Roman"/>
          <w:sz w:val="24"/>
          <w:szCs w:val="24"/>
          <w:lang w:val="en-US"/>
        </w:rPr>
      </w:pPr>
    </w:p>
    <w:p>
      <w:pPr>
        <w:spacing w:after="0"/>
        <w:rPr>
          <w:rFonts w:ascii="Times New Roman" w:hAnsi="Times New Roman"/>
          <w:sz w:val="24"/>
          <w:szCs w:val="24"/>
          <w:lang w:val="en-US"/>
        </w:rPr>
      </w:pPr>
    </w:p>
    <w:p>
      <w:pPr>
        <w:spacing w:after="0"/>
        <w:rPr>
          <w:rFonts w:ascii="Times New Roman" w:hAnsi="Times New Roman" w:eastAsia="Times New Roman"/>
          <w:sz w:val="24"/>
          <w:szCs w:val="24"/>
          <w:lang w:val="en-US"/>
        </w:rPr>
      </w:pPr>
      <w:r>
        <w:rPr>
          <w:rFonts w:ascii="Times New Roman" w:hAnsi="Times New Roman"/>
          <w:sz w:val="24"/>
          <w:szCs w:val="24"/>
          <w:lang w:val="en-US"/>
        </w:rPr>
        <w:t>Data __________________</w:t>
      </w:r>
    </w:p>
    <w:sectPr>
      <w:pgSz w:w="11906" w:h="16838"/>
      <w:pgMar w:top="567" w:right="284" w:bottom="28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C356D"/>
    <w:multiLevelType w:val="multilevel"/>
    <w:tmpl w:val="172C356D"/>
    <w:lvl w:ilvl="0" w:tentative="0">
      <w:start w:val="300"/>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E10765E"/>
    <w:multiLevelType w:val="multilevel"/>
    <w:tmpl w:val="1E10765E"/>
    <w:lvl w:ilvl="0" w:tentative="0">
      <w:start w:val="1"/>
      <w:numFmt w:val="upperRoman"/>
      <w:lvlText w:val="%1."/>
      <w:lvlJc w:val="left"/>
      <w:pPr>
        <w:ind w:left="1288"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F373776"/>
    <w:multiLevelType w:val="multilevel"/>
    <w:tmpl w:val="1F373776"/>
    <w:lvl w:ilvl="0" w:tentative="0">
      <w:start w:val="1"/>
      <w:numFmt w:val="lowerLetter"/>
      <w:lvlText w:val="%1)"/>
      <w:lvlJc w:val="left"/>
      <w:pPr>
        <w:ind w:left="1080" w:hanging="36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216008D3"/>
    <w:multiLevelType w:val="multilevel"/>
    <w:tmpl w:val="216008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AA774FE"/>
    <w:multiLevelType w:val="multilevel"/>
    <w:tmpl w:val="2AA774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4827EC"/>
    <w:multiLevelType w:val="multilevel"/>
    <w:tmpl w:val="2B4827E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7EE1C5D"/>
    <w:multiLevelType w:val="multilevel"/>
    <w:tmpl w:val="57EE1C5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ACF0E2E"/>
    <w:multiLevelType w:val="multilevel"/>
    <w:tmpl w:val="5ACF0E2E"/>
    <w:lvl w:ilvl="0" w:tentative="0">
      <w:start w:val="1"/>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BA643C4"/>
    <w:multiLevelType w:val="multilevel"/>
    <w:tmpl w:val="5BA643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9C41ABA"/>
    <w:multiLevelType w:val="multilevel"/>
    <w:tmpl w:val="79C41ABA"/>
    <w:lvl w:ilvl="0" w:tentative="0">
      <w:start w:val="1"/>
      <w:numFmt w:val="decimal"/>
      <w:lvlText w:val="%1."/>
      <w:lvlJc w:val="left"/>
      <w:pPr>
        <w:ind w:left="720" w:hanging="360"/>
      </w:pPr>
      <w:rPr>
        <w:sz w:val="24"/>
        <w:szCs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6"/>
  </w:num>
  <w:num w:numId="6">
    <w:abstractNumId w:val="8"/>
  </w:num>
  <w:num w:numId="7">
    <w:abstractNumId w:val="1"/>
  </w:num>
  <w:num w:numId="8">
    <w:abstractNumId w:val="2"/>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68141C"/>
    <w:rsid w:val="00006B2E"/>
    <w:rsid w:val="00036AC4"/>
    <w:rsid w:val="000419D4"/>
    <w:rsid w:val="00046355"/>
    <w:rsid w:val="000507F0"/>
    <w:rsid w:val="000508B9"/>
    <w:rsid w:val="0005267C"/>
    <w:rsid w:val="00056A88"/>
    <w:rsid w:val="000629D0"/>
    <w:rsid w:val="0006786E"/>
    <w:rsid w:val="00087CC1"/>
    <w:rsid w:val="000B6A59"/>
    <w:rsid w:val="000B7ACD"/>
    <w:rsid w:val="000C7511"/>
    <w:rsid w:val="000D04E6"/>
    <w:rsid w:val="000D72B9"/>
    <w:rsid w:val="000F4ACF"/>
    <w:rsid w:val="000F66A1"/>
    <w:rsid w:val="00103AD5"/>
    <w:rsid w:val="001154DD"/>
    <w:rsid w:val="001238FE"/>
    <w:rsid w:val="00137BD4"/>
    <w:rsid w:val="00144C64"/>
    <w:rsid w:val="0016274B"/>
    <w:rsid w:val="00181D82"/>
    <w:rsid w:val="00182A8D"/>
    <w:rsid w:val="00190D20"/>
    <w:rsid w:val="00194BD5"/>
    <w:rsid w:val="001B3E88"/>
    <w:rsid w:val="001C4FFF"/>
    <w:rsid w:val="001C7093"/>
    <w:rsid w:val="001E0342"/>
    <w:rsid w:val="001E375A"/>
    <w:rsid w:val="00202209"/>
    <w:rsid w:val="002142E6"/>
    <w:rsid w:val="00214922"/>
    <w:rsid w:val="00214ABD"/>
    <w:rsid w:val="00217A0C"/>
    <w:rsid w:val="00250D13"/>
    <w:rsid w:val="0026266F"/>
    <w:rsid w:val="00274277"/>
    <w:rsid w:val="00296FFE"/>
    <w:rsid w:val="002979BC"/>
    <w:rsid w:val="002B33B1"/>
    <w:rsid w:val="002B6B2D"/>
    <w:rsid w:val="002D00E2"/>
    <w:rsid w:val="002E3BDE"/>
    <w:rsid w:val="002F2579"/>
    <w:rsid w:val="002F43B2"/>
    <w:rsid w:val="002F46FD"/>
    <w:rsid w:val="003004FF"/>
    <w:rsid w:val="0030268B"/>
    <w:rsid w:val="00312756"/>
    <w:rsid w:val="0035251F"/>
    <w:rsid w:val="0036044F"/>
    <w:rsid w:val="00371402"/>
    <w:rsid w:val="0038635A"/>
    <w:rsid w:val="00391DBF"/>
    <w:rsid w:val="00394FF2"/>
    <w:rsid w:val="00395EE5"/>
    <w:rsid w:val="003A36BE"/>
    <w:rsid w:val="003B4627"/>
    <w:rsid w:val="003B7881"/>
    <w:rsid w:val="003D40BF"/>
    <w:rsid w:val="003E4765"/>
    <w:rsid w:val="003E7151"/>
    <w:rsid w:val="003F0F31"/>
    <w:rsid w:val="0042689B"/>
    <w:rsid w:val="004319A9"/>
    <w:rsid w:val="00432E6C"/>
    <w:rsid w:val="00442EFF"/>
    <w:rsid w:val="004548CD"/>
    <w:rsid w:val="00463027"/>
    <w:rsid w:val="00463F89"/>
    <w:rsid w:val="00481C61"/>
    <w:rsid w:val="004A29C3"/>
    <w:rsid w:val="004B1199"/>
    <w:rsid w:val="004C0B46"/>
    <w:rsid w:val="004C7FCC"/>
    <w:rsid w:val="004E09F9"/>
    <w:rsid w:val="004F7F84"/>
    <w:rsid w:val="0050201D"/>
    <w:rsid w:val="00505C48"/>
    <w:rsid w:val="00516146"/>
    <w:rsid w:val="005553D5"/>
    <w:rsid w:val="005946FC"/>
    <w:rsid w:val="005A4361"/>
    <w:rsid w:val="005B6860"/>
    <w:rsid w:val="005D21A9"/>
    <w:rsid w:val="005D3C92"/>
    <w:rsid w:val="005E2C55"/>
    <w:rsid w:val="0061005D"/>
    <w:rsid w:val="00621F94"/>
    <w:rsid w:val="006248F4"/>
    <w:rsid w:val="00624B78"/>
    <w:rsid w:val="006478EC"/>
    <w:rsid w:val="00650D7A"/>
    <w:rsid w:val="0066182B"/>
    <w:rsid w:val="0068141C"/>
    <w:rsid w:val="0068681E"/>
    <w:rsid w:val="00686994"/>
    <w:rsid w:val="00691B82"/>
    <w:rsid w:val="00694913"/>
    <w:rsid w:val="00697821"/>
    <w:rsid w:val="006A234F"/>
    <w:rsid w:val="006C0537"/>
    <w:rsid w:val="006C3618"/>
    <w:rsid w:val="006E5578"/>
    <w:rsid w:val="006F3D3F"/>
    <w:rsid w:val="006F7CD3"/>
    <w:rsid w:val="007109D7"/>
    <w:rsid w:val="0071255C"/>
    <w:rsid w:val="00720798"/>
    <w:rsid w:val="00730E88"/>
    <w:rsid w:val="00745FE1"/>
    <w:rsid w:val="00755486"/>
    <w:rsid w:val="00780E11"/>
    <w:rsid w:val="00783C06"/>
    <w:rsid w:val="0079310F"/>
    <w:rsid w:val="00793A50"/>
    <w:rsid w:val="007A2F20"/>
    <w:rsid w:val="007B1BA7"/>
    <w:rsid w:val="007D3772"/>
    <w:rsid w:val="007D3DCB"/>
    <w:rsid w:val="007E40E7"/>
    <w:rsid w:val="008017C1"/>
    <w:rsid w:val="00811F7E"/>
    <w:rsid w:val="008437C9"/>
    <w:rsid w:val="00876973"/>
    <w:rsid w:val="00883705"/>
    <w:rsid w:val="00891899"/>
    <w:rsid w:val="00895970"/>
    <w:rsid w:val="008B11FE"/>
    <w:rsid w:val="008B4F28"/>
    <w:rsid w:val="008C173D"/>
    <w:rsid w:val="008C5B82"/>
    <w:rsid w:val="008C62C5"/>
    <w:rsid w:val="008D275A"/>
    <w:rsid w:val="008E01F8"/>
    <w:rsid w:val="008E3116"/>
    <w:rsid w:val="008F2990"/>
    <w:rsid w:val="008F5EDA"/>
    <w:rsid w:val="0090767F"/>
    <w:rsid w:val="00923A2E"/>
    <w:rsid w:val="00930080"/>
    <w:rsid w:val="00974138"/>
    <w:rsid w:val="0098080D"/>
    <w:rsid w:val="00981952"/>
    <w:rsid w:val="00983063"/>
    <w:rsid w:val="0099149B"/>
    <w:rsid w:val="009A2BB5"/>
    <w:rsid w:val="009A5FA6"/>
    <w:rsid w:val="009A6EAA"/>
    <w:rsid w:val="009B4DC3"/>
    <w:rsid w:val="009B6D8A"/>
    <w:rsid w:val="009C0AB8"/>
    <w:rsid w:val="009C3D92"/>
    <w:rsid w:val="009F4DF5"/>
    <w:rsid w:val="009F508D"/>
    <w:rsid w:val="009F7465"/>
    <w:rsid w:val="00A1138F"/>
    <w:rsid w:val="00A16C2C"/>
    <w:rsid w:val="00A2752B"/>
    <w:rsid w:val="00A3340A"/>
    <w:rsid w:val="00A44016"/>
    <w:rsid w:val="00A877D4"/>
    <w:rsid w:val="00A97A84"/>
    <w:rsid w:val="00AA35D0"/>
    <w:rsid w:val="00AA79D9"/>
    <w:rsid w:val="00AB0E42"/>
    <w:rsid w:val="00AB50D1"/>
    <w:rsid w:val="00AC74F3"/>
    <w:rsid w:val="00AD2521"/>
    <w:rsid w:val="00AE4AF7"/>
    <w:rsid w:val="00B17C34"/>
    <w:rsid w:val="00B21705"/>
    <w:rsid w:val="00B252A5"/>
    <w:rsid w:val="00B27195"/>
    <w:rsid w:val="00B30801"/>
    <w:rsid w:val="00B41B65"/>
    <w:rsid w:val="00B441A8"/>
    <w:rsid w:val="00B469FF"/>
    <w:rsid w:val="00B60229"/>
    <w:rsid w:val="00B672D2"/>
    <w:rsid w:val="00B73686"/>
    <w:rsid w:val="00B73DCB"/>
    <w:rsid w:val="00B83586"/>
    <w:rsid w:val="00B8427E"/>
    <w:rsid w:val="00BC4984"/>
    <w:rsid w:val="00BD2B26"/>
    <w:rsid w:val="00BD3EC4"/>
    <w:rsid w:val="00BF53E1"/>
    <w:rsid w:val="00C02FA3"/>
    <w:rsid w:val="00C04744"/>
    <w:rsid w:val="00C15E1C"/>
    <w:rsid w:val="00C20FD4"/>
    <w:rsid w:val="00C31330"/>
    <w:rsid w:val="00C45772"/>
    <w:rsid w:val="00C5344B"/>
    <w:rsid w:val="00C773A8"/>
    <w:rsid w:val="00C9601F"/>
    <w:rsid w:val="00C96937"/>
    <w:rsid w:val="00CA25CC"/>
    <w:rsid w:val="00CA633E"/>
    <w:rsid w:val="00CB473C"/>
    <w:rsid w:val="00CC3544"/>
    <w:rsid w:val="00CF006F"/>
    <w:rsid w:val="00CF728C"/>
    <w:rsid w:val="00D040C7"/>
    <w:rsid w:val="00D16DC8"/>
    <w:rsid w:val="00D253CD"/>
    <w:rsid w:val="00D35FC8"/>
    <w:rsid w:val="00D4233D"/>
    <w:rsid w:val="00D56590"/>
    <w:rsid w:val="00D63D2C"/>
    <w:rsid w:val="00D7115B"/>
    <w:rsid w:val="00D73B00"/>
    <w:rsid w:val="00D76D0A"/>
    <w:rsid w:val="00D82CC9"/>
    <w:rsid w:val="00DA452D"/>
    <w:rsid w:val="00DA45ED"/>
    <w:rsid w:val="00DA688A"/>
    <w:rsid w:val="00DB3813"/>
    <w:rsid w:val="00DD1EF0"/>
    <w:rsid w:val="00E104E0"/>
    <w:rsid w:val="00E1327A"/>
    <w:rsid w:val="00E33A02"/>
    <w:rsid w:val="00E40073"/>
    <w:rsid w:val="00E46873"/>
    <w:rsid w:val="00E511D5"/>
    <w:rsid w:val="00E55C66"/>
    <w:rsid w:val="00E66DCF"/>
    <w:rsid w:val="00E679D6"/>
    <w:rsid w:val="00E70612"/>
    <w:rsid w:val="00E712C4"/>
    <w:rsid w:val="00E71766"/>
    <w:rsid w:val="00E73771"/>
    <w:rsid w:val="00E814E6"/>
    <w:rsid w:val="00E90EA6"/>
    <w:rsid w:val="00E94712"/>
    <w:rsid w:val="00EA1A4A"/>
    <w:rsid w:val="00EA47AD"/>
    <w:rsid w:val="00EA5D76"/>
    <w:rsid w:val="00EB2DBA"/>
    <w:rsid w:val="00EE21BC"/>
    <w:rsid w:val="00F02484"/>
    <w:rsid w:val="00F11199"/>
    <w:rsid w:val="00F15707"/>
    <w:rsid w:val="00F2702F"/>
    <w:rsid w:val="00F30BD2"/>
    <w:rsid w:val="00F40A00"/>
    <w:rsid w:val="00F41EDE"/>
    <w:rsid w:val="00F46A62"/>
    <w:rsid w:val="00F60023"/>
    <w:rsid w:val="00F70860"/>
    <w:rsid w:val="00F736DC"/>
    <w:rsid w:val="00F85B44"/>
    <w:rsid w:val="00FA0E44"/>
    <w:rsid w:val="00FD1585"/>
    <w:rsid w:val="00FD341E"/>
    <w:rsid w:val="00FD56EE"/>
    <w:rsid w:val="00FF2222"/>
    <w:rsid w:val="00FF5ACC"/>
    <w:rsid w:val="1D1B1F1C"/>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o-RO"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table" w:styleId="5">
    <w:name w:val="Table Grid"/>
    <w:basedOn w:val="3"/>
    <w:uiPriority w:val="59"/>
    <w:pPr>
      <w:spacing w:after="0" w:line="240" w:lineRule="auto"/>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doc_header"/>
    <w:basedOn w:val="2"/>
    <w:uiPriority w:val="0"/>
  </w:style>
  <w:style w:type="paragraph" w:styleId="7">
    <w:name w:val="List Paragraph"/>
    <w:basedOn w:val="1"/>
    <w:link w:val="8"/>
    <w:qFormat/>
    <w:uiPriority w:val="34"/>
    <w:pPr>
      <w:ind w:left="720"/>
      <w:contextualSpacing/>
    </w:pPr>
    <w:rPr>
      <w:rFonts w:ascii="Calibri" w:hAnsi="Calibri" w:eastAsia="Times New Roman" w:cs="Times New Roman"/>
      <w:lang w:val="en-US"/>
    </w:rPr>
  </w:style>
  <w:style w:type="character" w:customStyle="1" w:styleId="8">
    <w:name w:val="Абзац списка Знак"/>
    <w:link w:val="7"/>
    <w:locked/>
    <w:uiPriority w:val="34"/>
    <w:rPr>
      <w:rFonts w:ascii="Calibri" w:hAnsi="Calibri" w:eastAsia="Times New Roman" w:cs="Times New Roman"/>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8</Pages>
  <Words>2804</Words>
  <Characters>15984</Characters>
  <Lines>133</Lines>
  <Paragraphs>37</Paragraphs>
  <TotalTime>1079</TotalTime>
  <ScaleCrop>false</ScaleCrop>
  <LinksUpToDate>false</LinksUpToDate>
  <CharactersWithSpaces>18751</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2020-11-13T06:38:00Z</dcterms:created>
  <dc:creator>Secretar</dc:creator>
  <cp:lastModifiedBy>eu</cp:lastModifiedBy>
  <cp:lastPrinted>2023-03-13T09:23:13Z</cp:lastPrinted>
  <dcterms:modified xsi:type="dcterms:W3CDTF">2023-03-13T09:24:45Z</dcterms:modified>
  <cp:revision>258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0BCD8AB354564029910B515EF5F4FBBD</vt:lpwstr>
  </property>
</Properties>
</file>