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CD" w:rsidRPr="00A378CD" w:rsidRDefault="00A378CD" w:rsidP="00A378CD">
      <w:pPr>
        <w:spacing w:after="0"/>
        <w:jc w:val="right"/>
        <w:rPr>
          <w:b/>
          <w:sz w:val="24"/>
          <w:szCs w:val="24"/>
          <w:lang w:val="en-US"/>
        </w:rPr>
      </w:pPr>
      <w:proofErr w:type="spellStart"/>
      <w:r w:rsidRPr="00A378CD">
        <w:rPr>
          <w:b/>
          <w:sz w:val="24"/>
          <w:szCs w:val="24"/>
          <w:lang w:val="en-US"/>
        </w:rPr>
        <w:t>Anexă</w:t>
      </w:r>
      <w:proofErr w:type="spellEnd"/>
    </w:p>
    <w:p w:rsidR="00A378CD" w:rsidRPr="00A378CD" w:rsidRDefault="00A378CD" w:rsidP="00A378CD">
      <w:pPr>
        <w:spacing w:after="0"/>
        <w:jc w:val="right"/>
        <w:rPr>
          <w:b/>
          <w:sz w:val="24"/>
          <w:szCs w:val="24"/>
          <w:lang w:val="en-US"/>
        </w:rPr>
      </w:pPr>
      <w:r w:rsidRPr="00A378CD">
        <w:rPr>
          <w:b/>
          <w:sz w:val="24"/>
          <w:szCs w:val="24"/>
          <w:lang w:val="en-US"/>
        </w:rPr>
        <w:t xml:space="preserve">La </w:t>
      </w:r>
      <w:proofErr w:type="spellStart"/>
      <w:r w:rsidRPr="00A378CD">
        <w:rPr>
          <w:b/>
          <w:sz w:val="24"/>
          <w:szCs w:val="24"/>
          <w:lang w:val="en-US"/>
        </w:rPr>
        <w:t>decizia</w:t>
      </w:r>
      <w:proofErr w:type="spellEnd"/>
      <w:r w:rsidRPr="00A378CD">
        <w:rPr>
          <w:b/>
          <w:sz w:val="24"/>
          <w:szCs w:val="24"/>
          <w:lang w:val="en-US"/>
        </w:rPr>
        <w:t xml:space="preserve"> nr. 1 /1</w:t>
      </w:r>
    </w:p>
    <w:p w:rsidR="00A378CD" w:rsidRDefault="00A378CD" w:rsidP="00A378CD">
      <w:pPr>
        <w:spacing w:after="0"/>
        <w:jc w:val="right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d</w:t>
      </w:r>
      <w:r w:rsidRPr="00A378CD">
        <w:rPr>
          <w:b/>
          <w:sz w:val="24"/>
          <w:szCs w:val="24"/>
          <w:lang w:val="en-US"/>
        </w:rPr>
        <w:t>in</w:t>
      </w:r>
      <w:proofErr w:type="gramEnd"/>
      <w:r w:rsidRPr="00A378CD">
        <w:rPr>
          <w:b/>
          <w:sz w:val="24"/>
          <w:szCs w:val="24"/>
          <w:lang w:val="en-US"/>
        </w:rPr>
        <w:t xml:space="preserve"> 28.03.2019</w:t>
      </w:r>
    </w:p>
    <w:p w:rsidR="00596E95" w:rsidRPr="00A378CD" w:rsidRDefault="00596E95" w:rsidP="00A378CD">
      <w:pPr>
        <w:spacing w:after="0"/>
        <w:jc w:val="right"/>
        <w:rPr>
          <w:b/>
          <w:sz w:val="24"/>
          <w:szCs w:val="24"/>
          <w:lang w:val="en-US"/>
        </w:rPr>
      </w:pPr>
    </w:p>
    <w:p w:rsidR="00A378CD" w:rsidRPr="00A378CD" w:rsidRDefault="00A378CD" w:rsidP="00A378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RAPORT</w:t>
      </w:r>
    </w:p>
    <w:p w:rsidR="0068544D" w:rsidRDefault="0068544D" w:rsidP="00A378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executarea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buge</w:t>
      </w:r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>tului</w:t>
      </w:r>
      <w:proofErr w:type="spellEnd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>satului</w:t>
      </w:r>
      <w:proofErr w:type="spellEnd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>Grozesti</w:t>
      </w:r>
      <w:proofErr w:type="spellEnd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96E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</w:t>
      </w:r>
      <w:proofErr w:type="spellStart"/>
      <w:r w:rsidR="00596E95">
        <w:rPr>
          <w:rFonts w:ascii="Times New Roman" w:hAnsi="Times New Roman" w:cs="Times New Roman"/>
          <w:b/>
          <w:sz w:val="24"/>
          <w:szCs w:val="24"/>
          <w:lang w:val="en-US"/>
        </w:rPr>
        <w:t>luni</w:t>
      </w:r>
      <w:proofErr w:type="spellEnd"/>
      <w:r w:rsidR="00596E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proofErr w:type="gramStart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r w:rsidR="00596E95"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proofErr w:type="spellEnd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  <w:proofErr w:type="gramEnd"/>
      <w:r w:rsidR="00A378CD" w:rsidRPr="00A378C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96E95" w:rsidRPr="00A378CD" w:rsidRDefault="00596E95" w:rsidP="00A378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art. 43 (1) b al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nr 436-XVI din 28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administratia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finantelor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responsabilitatii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2014, art. 28 din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nr. 397-XV din 16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2003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>vin</w:t>
      </w:r>
      <w:proofErr w:type="spellEnd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proofErr w:type="gramStart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a. 2018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legislatia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 w:rsidR="00A378C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de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executarii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aprecierea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obtinute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examinata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transparenta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eficienta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finantelor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executorii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78CD" w:rsidRPr="00A378CD" w:rsidRDefault="00A378C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elaborate in </w:t>
      </w:r>
      <w:proofErr w:type="spellStart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>implimentarii</w:t>
      </w:r>
      <w:proofErr w:type="spellEnd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nr. 239 di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n 13.11.2008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transparenț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proofErr w:type="gramEnd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68544D"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decisional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44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Legile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reglementeaza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vizat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nr. 436-XVI din 28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administratia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finantelor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responsabilitatii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nr 181 din 25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2014,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nr. 397-XV din 16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2003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locale.Proiectul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 2018 </w:t>
      </w: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contine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“</w:t>
      </w:r>
      <w:proofErr w:type="spellStart"/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”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clasificatiei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96E95" w:rsidRPr="00596E95" w:rsidRDefault="00596E95" w:rsidP="00596E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96E95">
        <w:rPr>
          <w:rFonts w:ascii="Times New Roman" w:hAnsi="Times New Roman" w:cs="Times New Roman"/>
          <w:b/>
          <w:sz w:val="24"/>
          <w:szCs w:val="24"/>
          <w:lang w:val="en-US"/>
        </w:rPr>
        <w:t>VENITURI :</w:t>
      </w:r>
      <w:proofErr w:type="gramEnd"/>
    </w:p>
    <w:p w:rsidR="00596E95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2766.4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deciziilor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satesc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majorat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2023.6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lei,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caruia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anuala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precizata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4790.0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44D" w:rsidRPr="00A378CD" w:rsidRDefault="0068544D" w:rsidP="00A378C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1530.6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Contract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alimentarea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potabila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s.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etepa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II),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extinderea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retelelor</w:t>
      </w:r>
      <w:proofErr w:type="spellEnd"/>
    </w:p>
    <w:p w:rsidR="0068544D" w:rsidRPr="00A378CD" w:rsidRDefault="0068544D" w:rsidP="00A378C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500.00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primate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speciala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intre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68544D" w:rsidRPr="00A378CD" w:rsidRDefault="0068544D" w:rsidP="00A378C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14.2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transferuru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speciala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intre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invatamintul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prescolar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suplimentar</w:t>
      </w:r>
      <w:proofErr w:type="spellEnd"/>
    </w:p>
    <w:p w:rsidR="0068544D" w:rsidRPr="00A378CD" w:rsidRDefault="0068544D" w:rsidP="00A378C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8.8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transferuru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generala</w:t>
      </w:r>
      <w:proofErr w:type="spellEnd"/>
    </w:p>
    <w:p w:rsidR="0068544D" w:rsidRPr="00A378CD" w:rsidRDefault="0068544D" w:rsidP="00A378C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-30.0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incasaride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a. 2018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accumulate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4675.3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97.6%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fata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1035" w:type="dxa"/>
        <w:tblLayout w:type="fixed"/>
        <w:tblLook w:val="04A0"/>
      </w:tblPr>
      <w:tblGrid>
        <w:gridCol w:w="762"/>
        <w:gridCol w:w="2839"/>
        <w:gridCol w:w="1252"/>
        <w:gridCol w:w="1256"/>
        <w:gridCol w:w="1201"/>
        <w:gridCol w:w="1402"/>
      </w:tblGrid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Nr/o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aprobata</w:t>
            </w:r>
            <w:proofErr w:type="spellEnd"/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precizata</w:t>
            </w:r>
            <w:proofErr w:type="spellEnd"/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annul 2018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Devieri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executatfata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plan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</w:t>
            </w: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Venituri</w:t>
            </w:r>
            <w:proofErr w:type="spellEnd"/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2766.4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4790.0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4675.3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97.6</w:t>
            </w: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193.2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193.2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304.4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157.6</w:t>
            </w: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120.9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120.9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141.4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117.0</w:t>
            </w: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 axe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marfuri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69.0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69.0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49.7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72.0</w:t>
            </w: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vinzar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marf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166.8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136.8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140.7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102.8</w:t>
            </w: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Amenzi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sanctiuni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 prim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/e bug de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bug locale</w:t>
            </w: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2215.5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4269.1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4037.9</w:t>
            </w: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94.6</w:t>
            </w:r>
          </w:p>
        </w:tc>
      </w:tr>
      <w:tr w:rsidR="0068544D" w:rsidRPr="00A378CD" w:rsidTr="001A2DCA">
        <w:tc>
          <w:tcPr>
            <w:tcW w:w="76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96E95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</w:t>
      </w:r>
    </w:p>
    <w:p w:rsidR="0068544D" w:rsidRPr="00A378CD" w:rsidRDefault="0068544D" w:rsidP="00596E9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CHELTUIELI</w:t>
      </w:r>
      <w:r w:rsidR="00596E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a. 2018 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2766.4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lei.</w:t>
      </w:r>
    </w:p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deciziilor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satesc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Grozesti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majorat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3785.0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lei,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caruia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anuala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precizata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6551.4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lei.</w:t>
      </w:r>
    </w:p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12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5061.2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lei.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Comparativ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respectiva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majorat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1357.9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</w:p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1035" w:type="dxa"/>
        <w:tblLook w:val="04A0"/>
      </w:tblPr>
      <w:tblGrid>
        <w:gridCol w:w="767"/>
        <w:gridCol w:w="3363"/>
        <w:gridCol w:w="1252"/>
        <w:gridCol w:w="1256"/>
        <w:gridCol w:w="1201"/>
        <w:gridCol w:w="1122"/>
      </w:tblGrid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Nr/o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Devieri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exec c/e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2766.4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6551.4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5061.2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77.3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Remunerarea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muncii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1226.0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1137.6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1126.4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Contributii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prime de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obligatorii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309.7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292.7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291.5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99.0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242.4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259.0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197.2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76.1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Prestari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sociala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11.7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11.7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Prestari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angajatorilor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40.7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66.2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capital</w:t>
            </w: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32.3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32.3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capital ale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cladir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119.1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175.1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149.0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const sp</w:t>
            </w: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239.2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256.6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256.5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99.9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 ale install de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503.3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499.2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99.2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masin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utilaje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63.5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34.7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unelte,scule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 de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gospodaresc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152.4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96.5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63.3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fixe</w:t>
            </w: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Instal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curs de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executie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3062.5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1814.2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59.2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566.9</w:t>
            </w: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587.1</w:t>
            </w: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552.7</w:t>
            </w: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94.1</w:t>
            </w:r>
          </w:p>
        </w:tc>
      </w:tr>
      <w:tr w:rsidR="0068544D" w:rsidRPr="00A378CD" w:rsidTr="001A2DCA">
        <w:tc>
          <w:tcPr>
            <w:tcW w:w="767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63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:rsidR="0068544D" w:rsidRPr="00A378CD" w:rsidRDefault="0068544D" w:rsidP="00A378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8544D" w:rsidRPr="00A378CD" w:rsidRDefault="0068544D" w:rsidP="00A378C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96E95" w:rsidRDefault="00596E95" w:rsidP="00596E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MIJLOACE  FIXE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bilantului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situatia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01.01.2018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26045.1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intrari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fixe au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6450.5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gratuit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3357.0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  <w:proofErr w:type="gramEnd"/>
    </w:p>
    <w:p w:rsidR="0068544D" w:rsidRDefault="0068544D" w:rsidP="00A378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Reparatii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capital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cladirilor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instalatiilor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transmisie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constructiilor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special au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904.7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lei.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capital in active in  curs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au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2044.6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care 1300.2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conform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Mediului.Valoarea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fixe conform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bilantului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situatia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01.01.2017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32405.2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="00596E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96E95" w:rsidRPr="00A378CD" w:rsidRDefault="00596E95" w:rsidP="00A378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44D" w:rsidRPr="00A378CD" w:rsidRDefault="0068544D" w:rsidP="00596E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DATORII DEBITOARE SI CREDITOARE</w:t>
      </w:r>
      <w:r w:rsidR="00596E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situatia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01.01.2019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creantele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institutiei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2.8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care:</w:t>
      </w:r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-0.4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lei  -</w:t>
      </w:r>
      <w:proofErr w:type="spellStart"/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informationale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- 2.3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–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dervicii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neatribuite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aliniate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- 0.1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lei  -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combustibilului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Datoriile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creditoare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373.0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lei, </w:t>
      </w:r>
      <w:proofErr w:type="spellStart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inclusiv</w:t>
      </w:r>
      <w:proofErr w:type="spellEnd"/>
      <w:r w:rsidRPr="00A378C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-115.6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–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Remunerarea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angajatilor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conf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personal</w:t>
      </w:r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- 20.7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Contributii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asigurari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- 4.7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lei  Prime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asigurari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>- 0</w:t>
      </w:r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Indemnizatii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incap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tempor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munca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-1.1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combustibilului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- 230.4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Instalatii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transmisie</w:t>
      </w:r>
      <w:proofErr w:type="spell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Plata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datoriilor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debitoare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creditoare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situatia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31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2018. </w:t>
      </w: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Datorii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avem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disponibil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bancar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situatia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de 01.01.2019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1670.3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  <w:proofErr w:type="gramEnd"/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544D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7ABC" w:rsidRPr="00A378CD" w:rsidRDefault="0068544D" w:rsidP="00A378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proofErr w:type="spellStart"/>
      <w:proofErr w:type="gramStart"/>
      <w:r w:rsidRPr="00A378CD">
        <w:rPr>
          <w:rFonts w:ascii="Times New Roman" w:hAnsi="Times New Roman" w:cs="Times New Roman"/>
          <w:sz w:val="24"/>
          <w:szCs w:val="24"/>
          <w:lang w:val="en-US"/>
        </w:rPr>
        <w:t>Lefter</w:t>
      </w:r>
      <w:proofErr w:type="spellEnd"/>
      <w:r w:rsidRPr="00A37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378CD">
        <w:rPr>
          <w:rFonts w:ascii="Times New Roman" w:hAnsi="Times New Roman" w:cs="Times New Roman"/>
          <w:sz w:val="24"/>
          <w:szCs w:val="24"/>
          <w:lang w:val="en-US"/>
        </w:rPr>
        <w:t>Polina</w:t>
      </w:r>
      <w:proofErr w:type="spellEnd"/>
      <w:proofErr w:type="gramEnd"/>
    </w:p>
    <w:sectPr w:rsidR="00107ABC" w:rsidRPr="00A378CD" w:rsidSect="00A4084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35567"/>
    <w:multiLevelType w:val="hybridMultilevel"/>
    <w:tmpl w:val="0E18F5A8"/>
    <w:lvl w:ilvl="0" w:tplc="F1865F3C">
      <w:numFmt w:val="bullet"/>
      <w:lvlText w:val="-"/>
      <w:lvlJc w:val="left"/>
      <w:pPr>
        <w:ind w:left="1035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44D"/>
    <w:rsid w:val="00107ABC"/>
    <w:rsid w:val="00346091"/>
    <w:rsid w:val="00596E95"/>
    <w:rsid w:val="0068544D"/>
    <w:rsid w:val="00A3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4D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4D"/>
    <w:pPr>
      <w:ind w:left="720"/>
      <w:contextualSpacing/>
    </w:pPr>
  </w:style>
  <w:style w:type="table" w:styleId="a4">
    <w:name w:val="Table Grid"/>
    <w:basedOn w:val="a1"/>
    <w:uiPriority w:val="59"/>
    <w:rsid w:val="0068544D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2019-02-07T07:38:00Z</dcterms:created>
  <dcterms:modified xsi:type="dcterms:W3CDTF">2019-02-14T14:01:00Z</dcterms:modified>
</cp:coreProperties>
</file>