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43" w:rsidRDefault="00244143" w:rsidP="00244143">
      <w:pPr>
        <w:pStyle w:val="Frspaiere"/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6.6pt" o:ole="">
            <v:imagedata r:id="rId6" o:title=""/>
          </v:shape>
          <o:OLEObject Type="Embed" ProgID="PBrush" ShapeID="_x0000_i1025" DrawAspect="Content" ObjectID="_1731228644" r:id="rId7"/>
        </w:object>
      </w:r>
    </w:p>
    <w:p w:rsidR="00244143" w:rsidRPr="000F360B" w:rsidRDefault="00244143" w:rsidP="00244143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244143" w:rsidRDefault="00244143" w:rsidP="00244143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 Călăraşi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Consiliul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  Pîrjolteni</w:t>
      </w:r>
    </w:p>
    <w:p w:rsidR="00244143" w:rsidRDefault="00244143" w:rsidP="00244143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143" w:rsidRPr="00EA7EA1" w:rsidRDefault="00244143" w:rsidP="00244143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Pîrjolteni </w:t>
      </w:r>
    </w:p>
    <w:p w:rsidR="00244143" w:rsidRPr="00EA7EA1" w:rsidRDefault="00244143" w:rsidP="00244143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8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244143" w:rsidRPr="00EA7EA1" w:rsidRDefault="00244143" w:rsidP="00244143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244143" w:rsidRPr="00901AFB" w:rsidRDefault="00244143" w:rsidP="00244143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08/02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957E6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244143" w:rsidRPr="00FB344C" w:rsidRDefault="00244143" w:rsidP="00244143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09 decembrie 2022</w:t>
      </w:r>
    </w:p>
    <w:p w:rsidR="00244143" w:rsidRDefault="00244143" w:rsidP="00244143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244143" w:rsidRPr="00FB344C" w:rsidRDefault="00244143" w:rsidP="00244143">
      <w:pPr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„</w:t>
      </w:r>
      <w:r w:rsidRPr="00FB344C">
        <w:rPr>
          <w:rFonts w:eastAsiaTheme="minorEastAsia"/>
          <w:sz w:val="28"/>
          <w:szCs w:val="28"/>
          <w:lang w:val="en-GB"/>
        </w:rPr>
        <w:t xml:space="preserve">Cu privire la  stabilirea și punerea </w:t>
      </w:r>
    </w:p>
    <w:p w:rsidR="00244143" w:rsidRPr="00FB344C" w:rsidRDefault="00244143" w:rsidP="00244143">
      <w:pPr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în aplicare a t</w:t>
      </w:r>
      <w:r>
        <w:rPr>
          <w:rFonts w:eastAsiaTheme="minorEastAsia"/>
          <w:sz w:val="28"/>
          <w:szCs w:val="28"/>
          <w:lang w:val="en-GB"/>
        </w:rPr>
        <w:t>axelor  locale pentru  anul 2023</w:t>
      </w:r>
      <w:r w:rsidRPr="00FB344C">
        <w:rPr>
          <w:rFonts w:eastAsiaTheme="minorEastAsia"/>
          <w:sz w:val="28"/>
          <w:szCs w:val="28"/>
          <w:lang w:val="en-GB"/>
        </w:rPr>
        <w:t>”</w:t>
      </w:r>
    </w:p>
    <w:p w:rsidR="00244143" w:rsidRPr="00FB344C" w:rsidRDefault="00244143" w:rsidP="00244143">
      <w:pPr>
        <w:rPr>
          <w:rFonts w:eastAsiaTheme="minorEastAsia"/>
          <w:sz w:val="28"/>
          <w:szCs w:val="28"/>
          <w:lang w:val="en-GB"/>
        </w:rPr>
      </w:pPr>
    </w:p>
    <w:p w:rsidR="00244143" w:rsidRPr="00FB344C" w:rsidRDefault="00244143" w:rsidP="00244143">
      <w:pPr>
        <w:jc w:val="both"/>
        <w:rPr>
          <w:rFonts w:eastAsiaTheme="minorEastAsia"/>
          <w:sz w:val="28"/>
          <w:szCs w:val="28"/>
          <w:lang w:val="en-US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</w:t>
      </w:r>
      <w:r w:rsidRPr="00FB344C">
        <w:rPr>
          <w:rFonts w:eastAsiaTheme="minorEastAsia"/>
          <w:sz w:val="28"/>
          <w:szCs w:val="28"/>
          <w:lang w:val="ro-RO"/>
        </w:rPr>
        <w:t>Examinând nota informativă cu privire la stabilirea și punerea în aplicare a</w:t>
      </w:r>
      <w:r>
        <w:rPr>
          <w:rFonts w:eastAsiaTheme="minorEastAsia"/>
          <w:sz w:val="28"/>
          <w:szCs w:val="28"/>
          <w:lang w:val="ro-RO"/>
        </w:rPr>
        <w:t xml:space="preserve"> taxelor locale pentru anul 2022</w:t>
      </w:r>
      <w:r w:rsidRPr="00FB344C">
        <w:rPr>
          <w:rFonts w:eastAsiaTheme="minorEastAsia"/>
          <w:sz w:val="28"/>
          <w:szCs w:val="28"/>
          <w:lang w:val="ro-RO"/>
        </w:rPr>
        <w:t xml:space="preserve">, </w:t>
      </w:r>
      <w:r w:rsidRPr="00FB344C">
        <w:rPr>
          <w:rFonts w:eastAsiaTheme="minorEastAsia"/>
          <w:color w:val="000000"/>
          <w:sz w:val="28"/>
          <w:szCs w:val="28"/>
          <w:lang w:val="en-US"/>
        </w:rPr>
        <w:t>prezentată de d-l Vasile Stavilă, primarul satului Pîrjolteni;</w:t>
      </w:r>
    </w:p>
    <w:p w:rsidR="00244143" w:rsidRPr="00FB344C" w:rsidRDefault="00244143" w:rsidP="00244143">
      <w:pPr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  În conformitate cu Titlul VII ”Taxele locale” din Codul fiscal, aprobat prin</w:t>
      </w:r>
      <w:r>
        <w:rPr>
          <w:rFonts w:eastAsiaTheme="minorEastAsia"/>
          <w:sz w:val="28"/>
          <w:szCs w:val="28"/>
          <w:lang w:val="en-GB"/>
        </w:rPr>
        <w:t xml:space="preserve"> </w:t>
      </w:r>
      <w:r w:rsidRPr="00FB344C">
        <w:rPr>
          <w:rFonts w:eastAsiaTheme="minorEastAsia"/>
          <w:sz w:val="28"/>
          <w:szCs w:val="28"/>
          <w:lang w:val="en-GB"/>
        </w:rPr>
        <w:t xml:space="preserve">Legea nr.1163-XIII din 24.04.1997;  Legea privind administrația publică locală nr.436-XVI din 28 decembrie 2006; Legea privind finanțele publice nr.397-XV din 16.10.2003; Legea finanțelor publice și responsabilității bugetar fiscale nr.181 din25.07.2014; Legea nr.235-XVI din 20.06.2006 cu privire la principiile de bază de reglementare a activității de întreprinzător; Legea privind reglementarea prin autorizare a activității de întreprinzător nr. 160 din 22.07.2011; Legea cu privire la comerțul interior nr.231 din 23.09.2010;  Hotărîrea Guvernului cu privire la desfășurarea comerțului cu amănuntul nr.931 din 08.12.2001; </w:t>
      </w:r>
    </w:p>
    <w:p w:rsidR="00244143" w:rsidRPr="00FB344C" w:rsidRDefault="00244143" w:rsidP="00244143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În baza </w:t>
      </w:r>
      <w:r w:rsidRPr="00FB344C">
        <w:rPr>
          <w:rFonts w:eastAsiaTheme="minorEastAsia"/>
          <w:sz w:val="28"/>
          <w:szCs w:val="28"/>
          <w:lang w:val="en-US"/>
        </w:rPr>
        <w:t xml:space="preserve">Regulamentului privind constituirea şi funcţionarea Consiliului sătesc Pîrjolteni, aprobat prin </w:t>
      </w:r>
      <w:r>
        <w:rPr>
          <w:rFonts w:eastAsiaTheme="minorEastAsia"/>
          <w:sz w:val="28"/>
          <w:szCs w:val="28"/>
          <w:lang w:val="en-US"/>
        </w:rPr>
        <w:t>decizia Consiliului sătesc nr.09/01</w:t>
      </w:r>
      <w:r w:rsidRPr="00FB344C">
        <w:rPr>
          <w:rFonts w:eastAsiaTheme="minorEastAsia"/>
          <w:sz w:val="28"/>
          <w:szCs w:val="28"/>
          <w:lang w:val="en-US"/>
        </w:rPr>
        <w:t xml:space="preserve"> din </w:t>
      </w:r>
      <w:r>
        <w:rPr>
          <w:rFonts w:eastAsiaTheme="minorEastAsia"/>
          <w:sz w:val="28"/>
          <w:szCs w:val="28"/>
          <w:lang w:val="en-US"/>
        </w:rPr>
        <w:t>06.12</w:t>
      </w:r>
      <w:r w:rsidRPr="00FB344C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FB344C">
        <w:rPr>
          <w:rFonts w:eastAsiaTheme="minorEastAsia"/>
          <w:sz w:val="28"/>
          <w:szCs w:val="28"/>
          <w:lang w:val="en-US"/>
        </w:rPr>
        <w:t>;</w:t>
      </w:r>
    </w:p>
    <w:p w:rsidR="00244143" w:rsidRDefault="00244143" w:rsidP="00244143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Avizului comisiei de specialitate pentru problemele în economie, buget și finanțe;</w:t>
      </w:r>
      <w:r>
        <w:rPr>
          <w:rFonts w:eastAsiaTheme="minorEastAsia"/>
          <w:sz w:val="28"/>
          <w:szCs w:val="28"/>
          <w:lang w:val="ro-RO"/>
        </w:rPr>
        <w:t xml:space="preserve">         </w:t>
      </w:r>
    </w:p>
    <w:p w:rsidR="00244143" w:rsidRDefault="00244143" w:rsidP="00244143">
      <w:pPr>
        <w:jc w:val="both"/>
        <w:rPr>
          <w:rFonts w:eastAsiaTheme="minorEastAsia"/>
          <w:sz w:val="28"/>
          <w:szCs w:val="28"/>
          <w:lang w:val="en-GB"/>
        </w:rPr>
      </w:pPr>
    </w:p>
    <w:p w:rsidR="00244143" w:rsidRPr="00FB344C" w:rsidRDefault="00244143" w:rsidP="00244143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en-GB"/>
        </w:rPr>
        <w:t xml:space="preserve">                                C</w:t>
      </w:r>
      <w:r w:rsidRPr="00FB344C">
        <w:rPr>
          <w:rFonts w:eastAsiaTheme="minorEastAsia"/>
          <w:sz w:val="28"/>
          <w:szCs w:val="28"/>
          <w:lang w:val="en-GB"/>
        </w:rPr>
        <w:t xml:space="preserve">onsiliul sătesc, </w:t>
      </w:r>
      <w:r w:rsidRPr="00FB344C">
        <w:rPr>
          <w:rFonts w:eastAsiaTheme="minorEastAsia"/>
          <w:b/>
          <w:sz w:val="28"/>
          <w:szCs w:val="28"/>
          <w:lang w:val="en-GB"/>
        </w:rPr>
        <w:t>DECIDE</w:t>
      </w:r>
      <w:r w:rsidRPr="00FB344C">
        <w:rPr>
          <w:rFonts w:eastAsiaTheme="minorEastAsia"/>
          <w:sz w:val="28"/>
          <w:szCs w:val="28"/>
          <w:lang w:val="en-GB"/>
        </w:rPr>
        <w:t xml:space="preserve"> : </w:t>
      </w:r>
    </w:p>
    <w:p w:rsidR="00244143" w:rsidRPr="00FB344C" w:rsidRDefault="00244143" w:rsidP="00244143">
      <w:pPr>
        <w:jc w:val="both"/>
        <w:rPr>
          <w:rFonts w:eastAsiaTheme="minorEastAsia"/>
          <w:sz w:val="28"/>
          <w:szCs w:val="28"/>
          <w:lang w:val="en-GB"/>
        </w:rPr>
      </w:pP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i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>Se stabilesc taxele locale conform titlului VII al Codului fiscal</w:t>
      </w:r>
      <w:r w:rsidRPr="00FB344C">
        <w:rPr>
          <w:rFonts w:eastAsiaTheme="minorEastAsia"/>
          <w:i/>
          <w:sz w:val="28"/>
          <w:szCs w:val="28"/>
          <w:lang w:val="en-GB"/>
        </w:rPr>
        <w:t xml:space="preserve">, cu excepția taxei pentru unitățile comerciale și/sau de prestări servicii, </w:t>
      </w:r>
      <w:r w:rsidRPr="00FB344C">
        <w:rPr>
          <w:rFonts w:eastAsiaTheme="minorEastAsia"/>
          <w:sz w:val="28"/>
          <w:szCs w:val="28"/>
          <w:lang w:val="en-GB"/>
        </w:rPr>
        <w:t>și</w:t>
      </w:r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r w:rsidRPr="00FB344C">
        <w:rPr>
          <w:rFonts w:eastAsiaTheme="minorEastAsia"/>
          <w:sz w:val="28"/>
          <w:szCs w:val="28"/>
          <w:lang w:val="en-GB"/>
        </w:rPr>
        <w:t>cotele acestora, conform anexei nr.1;</w:t>
      </w:r>
      <w:r w:rsidRPr="00FB344C">
        <w:rPr>
          <w:rFonts w:eastAsiaTheme="minorEastAsia"/>
          <w:i/>
          <w:sz w:val="28"/>
          <w:szCs w:val="28"/>
          <w:lang w:val="en-GB"/>
        </w:rPr>
        <w:t xml:space="preserve">   </w:t>
      </w: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Se stabilește taxa pentru unitățile comerciale și/sau de prestări servicii și cotele acesteia, conform anexei nr.2; </w:t>
      </w: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>Subiecții impunerii, baza impozabilă a obiectelor  impunerii, modul de calculare, termenele de achitare și de prezentare a dării de seamă la taxele locale stabilite, conform Titlului VII al Codului fiscal.</w:t>
      </w: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US"/>
        </w:rPr>
        <w:lastRenderedPageBreak/>
        <w:t>A</w:t>
      </w:r>
      <w:r w:rsidRPr="00FB344C">
        <w:rPr>
          <w:rFonts w:eastAsiaTheme="minorEastAsia"/>
          <w:sz w:val="28"/>
          <w:szCs w:val="28"/>
          <w:lang w:val="ro-RO"/>
        </w:rPr>
        <w:t xml:space="preserve">genţii  economici care au încetat  activitatea pe teritoriul satului Pîrjolteni, nu achită taxele locale, de </w:t>
      </w:r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la data </w:t>
      </w:r>
      <w:r w:rsidRPr="00FB344C">
        <w:rPr>
          <w:rFonts w:eastAsiaTheme="minorEastAsia"/>
          <w:color w:val="000000"/>
          <w:sz w:val="28"/>
          <w:szCs w:val="28"/>
          <w:lang w:val="ro-RO"/>
        </w:rPr>
        <w:t>depunerii notificării, privind încetarea activităţii de comerţ.</w:t>
      </w: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>Prezenta decizie în termen de 10 zile din data  adoptării, urmează a fi adusă la cunoștința contribuabililor și prezentată subdiviziunii  structural teritoriale din ca</w:t>
      </w:r>
      <w:r>
        <w:rPr>
          <w:rFonts w:eastAsiaTheme="minorEastAsia"/>
          <w:sz w:val="28"/>
          <w:szCs w:val="28"/>
          <w:lang w:val="en-GB"/>
        </w:rPr>
        <w:t>drul Serviciului Fiscal de Stat  și adusă la cunoștința contribuabililor, prin plasarea deciziei și anexelor pe pagina web și pe panourile informative.</w:t>
      </w:r>
    </w:p>
    <w:p w:rsidR="00244143" w:rsidRPr="00FB344C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Controlul asupra executării</w:t>
      </w:r>
      <w:r w:rsidRPr="00FB344C">
        <w:rPr>
          <w:rFonts w:eastAsiaTheme="minorEastAsia"/>
          <w:sz w:val="28"/>
          <w:szCs w:val="28"/>
          <w:lang w:val="ro-RO"/>
        </w:rPr>
        <w:t xml:space="preserve"> prezentei decizii i se  atribuie </w:t>
      </w:r>
      <w:r>
        <w:rPr>
          <w:rFonts w:eastAsiaTheme="minorEastAsia"/>
          <w:sz w:val="28"/>
          <w:szCs w:val="28"/>
          <w:lang w:val="ro-RO"/>
        </w:rPr>
        <w:t xml:space="preserve"> primarului  d-l Stavilă Vasile. </w:t>
      </w:r>
    </w:p>
    <w:p w:rsidR="00244143" w:rsidRPr="001E74A4" w:rsidRDefault="00244143" w:rsidP="00244143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ro-RO"/>
        </w:rPr>
        <w:t>Prezenta decizie intr</w:t>
      </w:r>
      <w:r>
        <w:rPr>
          <w:rFonts w:eastAsiaTheme="minorEastAsia"/>
          <w:sz w:val="28"/>
          <w:szCs w:val="28"/>
          <w:lang w:val="ro-RO"/>
        </w:rPr>
        <w:t>ă în vigoare la 01 ianuarie 2023</w:t>
      </w:r>
      <w:r>
        <w:rPr>
          <w:rFonts w:eastAsiaTheme="minorEastAsia"/>
          <w:sz w:val="28"/>
          <w:szCs w:val="28"/>
          <w:lang w:val="en-GB"/>
        </w:rPr>
        <w:t>.</w:t>
      </w:r>
    </w:p>
    <w:p w:rsidR="00244143" w:rsidRDefault="00244143" w:rsidP="00244143">
      <w:pPr>
        <w:rPr>
          <w:rFonts w:eastAsiaTheme="minorEastAsia"/>
          <w:lang w:val="ro-RO"/>
        </w:rPr>
      </w:pPr>
    </w:p>
    <w:p w:rsidR="00244143" w:rsidRPr="001E74A4" w:rsidRDefault="00244143" w:rsidP="00244143">
      <w:pPr>
        <w:rPr>
          <w:rFonts w:eastAsiaTheme="minorEastAsia"/>
          <w:lang w:val="ro-RO"/>
        </w:rPr>
      </w:pPr>
      <w:r w:rsidRPr="001E74A4">
        <w:rPr>
          <w:rFonts w:eastAsiaTheme="minorEastAsia"/>
          <w:sz w:val="28"/>
          <w:szCs w:val="28"/>
          <w:lang w:val="ro-RO"/>
        </w:rPr>
        <w:t xml:space="preserve">Au votat: 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1E74A4">
        <w:rPr>
          <w:rFonts w:eastAsiaTheme="minorEastAsia"/>
          <w:sz w:val="28"/>
          <w:szCs w:val="28"/>
          <w:lang w:val="ro-RO"/>
        </w:rPr>
        <w:t xml:space="preserve"> </w:t>
      </w:r>
      <w:r>
        <w:rPr>
          <w:rFonts w:eastAsiaTheme="minorEastAsia"/>
          <w:sz w:val="28"/>
          <w:szCs w:val="28"/>
          <w:lang w:val="ro-RO"/>
        </w:rPr>
        <w:t>Pro-, împotrivă-, s-au abținut-.</w:t>
      </w: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Președintele  ședinței                                           </w:t>
      </w: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</w:t>
      </w: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Contrasemnează: </w:t>
      </w: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Secretar al consiliului                                         Svetlana Danu</w:t>
      </w: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sz w:val="28"/>
          <w:szCs w:val="28"/>
          <w:lang w:val="ro-RO"/>
        </w:rPr>
      </w:pPr>
    </w:p>
    <w:p w:rsidR="00244143" w:rsidRDefault="00244143" w:rsidP="00244143">
      <w:pPr>
        <w:rPr>
          <w:rFonts w:eastAsiaTheme="minorEastAsia"/>
          <w:lang w:val="ro-RO"/>
        </w:rPr>
      </w:pPr>
      <w:r w:rsidRPr="001E74A4">
        <w:rPr>
          <w:rFonts w:eastAsiaTheme="minorEastAsia"/>
          <w:lang w:val="ro-RO"/>
        </w:rPr>
        <w:t>Ex: Veronica Dimitriu, contabil-șef</w:t>
      </w:r>
      <w:r>
        <w:rPr>
          <w:rFonts w:eastAsiaTheme="minorEastAsia"/>
          <w:lang w:val="ro-RO"/>
        </w:rPr>
        <w:t>,</w:t>
      </w:r>
    </w:p>
    <w:p w:rsidR="00244143" w:rsidRDefault="00244143" w:rsidP="00244143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 xml:space="preserve"> tel: 0244-61247</w:t>
      </w: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Default="00735F23" w:rsidP="00244143">
      <w:pPr>
        <w:rPr>
          <w:rFonts w:eastAsiaTheme="minorEastAsia"/>
          <w:lang w:val="ro-RO"/>
        </w:rPr>
      </w:pPr>
    </w:p>
    <w:p w:rsidR="00735F23" w:rsidRPr="001E74A4" w:rsidRDefault="00735F23" w:rsidP="00244143">
      <w:pPr>
        <w:rPr>
          <w:rFonts w:eastAsiaTheme="minorEastAsia"/>
          <w:lang w:val="ro-RO"/>
        </w:rPr>
      </w:pPr>
    </w:p>
    <w:p w:rsidR="00ED56E1" w:rsidRDefault="00A97071">
      <w:pPr>
        <w:rPr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       </w:t>
      </w:r>
      <w:r>
        <w:rPr>
          <w:rFonts w:eastAsiaTheme="minorEastAsia"/>
          <w:sz w:val="28"/>
          <w:szCs w:val="28"/>
          <w:lang w:val="ro-RO"/>
        </w:rPr>
        <w:t>Anexa nr.</w:t>
      </w:r>
      <w:r w:rsidRPr="00FB344C">
        <w:rPr>
          <w:rFonts w:eastAsiaTheme="minorEastAsia"/>
          <w:sz w:val="28"/>
          <w:szCs w:val="28"/>
          <w:lang w:val="ro-RO"/>
        </w:rPr>
        <w:t>1</w:t>
      </w: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                                                                                      la decizia consiliului sătesc</w:t>
      </w: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                                                                                       nr.0</w:t>
      </w:r>
      <w:r>
        <w:rPr>
          <w:rFonts w:eastAsiaTheme="minorEastAsia"/>
          <w:sz w:val="28"/>
          <w:szCs w:val="28"/>
          <w:lang w:val="ro-RO"/>
        </w:rPr>
        <w:t>8</w:t>
      </w:r>
      <w:r w:rsidRPr="00FB344C">
        <w:rPr>
          <w:rFonts w:eastAsiaTheme="minorEastAsia"/>
          <w:sz w:val="28"/>
          <w:szCs w:val="28"/>
          <w:lang w:val="ro-RO"/>
        </w:rPr>
        <w:t>/0</w:t>
      </w:r>
      <w:r>
        <w:rPr>
          <w:rFonts w:eastAsiaTheme="minorEastAsia"/>
          <w:sz w:val="28"/>
          <w:szCs w:val="28"/>
          <w:lang w:val="ro-RO"/>
        </w:rPr>
        <w:t>2 din 09.12.2022</w:t>
      </w: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            Taxele locale, cotele și înlesnirile fiscale ce se pun în aplicare </w:t>
      </w: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            pe teritoriul satului Pîrjolteni, r-nul Călărași, </w:t>
      </w:r>
      <w:r>
        <w:rPr>
          <w:rFonts w:eastAsiaTheme="minorEastAsia"/>
          <w:sz w:val="28"/>
          <w:szCs w:val="28"/>
          <w:lang w:val="ro-RO"/>
        </w:rPr>
        <w:t>pentru anul 2023</w:t>
      </w:r>
      <w:r w:rsidRPr="00FB344C">
        <w:rPr>
          <w:rFonts w:eastAsiaTheme="minorEastAsia"/>
          <w:sz w:val="28"/>
          <w:szCs w:val="28"/>
          <w:lang w:val="ro-RO"/>
        </w:rPr>
        <w:t xml:space="preserve"> </w:t>
      </w:r>
    </w:p>
    <w:p w:rsidR="00735F23" w:rsidRPr="00FB344C" w:rsidRDefault="00735F23" w:rsidP="00735F23">
      <w:pPr>
        <w:rPr>
          <w:rFonts w:eastAsiaTheme="minorEastAsia"/>
          <w:b/>
          <w:i/>
          <w:sz w:val="28"/>
          <w:szCs w:val="28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94"/>
        <w:gridCol w:w="3261"/>
        <w:gridCol w:w="1842"/>
        <w:gridCol w:w="2835"/>
      </w:tblGrid>
      <w:tr w:rsidR="00735F23" w:rsidRPr="00FB344C" w:rsidTr="00E85E3B">
        <w:tc>
          <w:tcPr>
            <w:tcW w:w="582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>Nr.</w:t>
            </w:r>
          </w:p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>d/r</w:t>
            </w:r>
          </w:p>
        </w:tc>
        <w:tc>
          <w:tcPr>
            <w:tcW w:w="1794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Denumirea  taxei </w:t>
            </w:r>
          </w:p>
        </w:tc>
        <w:tc>
          <w:tcPr>
            <w:tcW w:w="3261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Baza impozabilă și obiectul impunerii </w:t>
            </w:r>
          </w:p>
        </w:tc>
        <w:tc>
          <w:tcPr>
            <w:tcW w:w="1842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>Cota taxei</w:t>
            </w:r>
          </w:p>
        </w:tc>
        <w:tc>
          <w:tcPr>
            <w:tcW w:w="2835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>Inlesniri fiscale conform art.296  din Codul fiscal  suplimentar celor stabilite prin art.295</w:t>
            </w:r>
          </w:p>
        </w:tc>
      </w:tr>
      <w:tr w:rsidR="00735F23" w:rsidRPr="00FB344C" w:rsidTr="00E85E3B">
        <w:tc>
          <w:tcPr>
            <w:tcW w:w="582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>1.</w:t>
            </w:r>
          </w:p>
        </w:tc>
        <w:tc>
          <w:tcPr>
            <w:tcW w:w="1794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Taxa pentru amenajarea teritoriului </w:t>
            </w:r>
          </w:p>
        </w:tc>
        <w:tc>
          <w:tcPr>
            <w:tcW w:w="3261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color w:val="000000"/>
                <w:sz w:val="28"/>
                <w:szCs w:val="28"/>
                <w:lang w:val="ro-RO"/>
              </w:rPr>
              <w:t>Numărul mediu scriptic trimestrial al salariaţilor şi, suplimentar:</w:t>
            </w:r>
          </w:p>
          <w:p w:rsidR="00735F23" w:rsidRPr="00FB344C" w:rsidRDefault="00735F23" w:rsidP="00E85E3B">
            <w:pPr>
              <w:rPr>
                <w:rFonts w:eastAsiaTheme="minorEastAsia"/>
                <w:color w:val="000000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color w:val="000000"/>
                <w:sz w:val="28"/>
                <w:szCs w:val="28"/>
                <w:lang w:val="ro-RO"/>
              </w:rPr>
              <w:t>– în cazul întreprinderilor individuale şi gospodăriilor ţărăneşti (de fermier) – fondatorul întreprinderii individuale, fondatorul şi membrii gospodăriilor ţărăneşti (de fermier);</w:t>
            </w:r>
          </w:p>
        </w:tc>
        <w:tc>
          <w:tcPr>
            <w:tcW w:w="1842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>80 lei</w:t>
            </w:r>
            <w:r w:rsidRPr="00FB344C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FB344C">
              <w:rPr>
                <w:rFonts w:eastAsiaTheme="minorEastAsia"/>
                <w:color w:val="000000"/>
                <w:sz w:val="28"/>
                <w:szCs w:val="28"/>
                <w:lang w:val="ro-RO"/>
              </w:rPr>
              <w:t xml:space="preserve"> anual pentru fiecare salariat şi/sau fondator al întreprinderii individuale, al gospodăriei ţărăneşti (de fermier)</w:t>
            </w:r>
          </w:p>
        </w:tc>
        <w:tc>
          <w:tcPr>
            <w:tcW w:w="2835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 xml:space="preserve"> Se  scutesc cu </w:t>
            </w: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>50%</w:t>
            </w:r>
            <w:r w:rsidRPr="00FB344C">
              <w:rPr>
                <w:rFonts w:eastAsiaTheme="minorEastAsia"/>
                <w:sz w:val="28"/>
                <w:szCs w:val="28"/>
                <w:lang w:val="ro-RO"/>
              </w:rPr>
              <w:t xml:space="preserve"> din  taxa pentru amenajarea teritoriului  gospodăriile ţărăneşti(de fermier)</w:t>
            </w:r>
          </w:p>
        </w:tc>
      </w:tr>
      <w:tr w:rsidR="00735F23" w:rsidRPr="00FB344C" w:rsidTr="00E85E3B">
        <w:tc>
          <w:tcPr>
            <w:tcW w:w="582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>2.</w:t>
            </w:r>
          </w:p>
        </w:tc>
        <w:tc>
          <w:tcPr>
            <w:tcW w:w="1794" w:type="dxa"/>
          </w:tcPr>
          <w:p w:rsidR="00735F23" w:rsidRPr="00FB344C" w:rsidRDefault="00735F23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>Taxa  pentru  salubrizare</w:t>
            </w:r>
          </w:p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  <w:tc>
          <w:tcPr>
            <w:tcW w:w="3261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color w:val="000000"/>
                <w:sz w:val="28"/>
                <w:szCs w:val="28"/>
                <w:lang w:val="ro-RO"/>
              </w:rPr>
              <w:t>Numărul de persoane fizice înscrise la adresa declarată ca domiciliu.</w:t>
            </w:r>
          </w:p>
        </w:tc>
        <w:tc>
          <w:tcPr>
            <w:tcW w:w="1842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1 leu </w:t>
            </w:r>
            <w:r w:rsidRPr="00FB344C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FB344C">
              <w:rPr>
                <w:rFonts w:eastAsiaTheme="minorEastAsia"/>
                <w:color w:val="000000"/>
                <w:sz w:val="28"/>
                <w:szCs w:val="28"/>
                <w:lang w:val="ro-RO"/>
              </w:rPr>
              <w:t xml:space="preserve"> lunar pentru fiecare domiciliat înscris la adresa respectivă</w:t>
            </w:r>
          </w:p>
        </w:tc>
        <w:tc>
          <w:tcPr>
            <w:tcW w:w="2835" w:type="dxa"/>
          </w:tcPr>
          <w:p w:rsidR="00735F23" w:rsidRPr="00FB344C" w:rsidRDefault="00735F23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FB344C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FB344C">
              <w:rPr>
                <w:rFonts w:eastAsiaTheme="minorEastAsia"/>
                <w:sz w:val="28"/>
                <w:szCs w:val="28"/>
                <w:lang w:val="en-GB"/>
              </w:rPr>
              <w:t>se scutesc persoanele  cu domiciliu în teritoriu, care nu dispun de spațiu locativ sau alte bunuri imobile și o perioadă îndelungată nu locuiesc în sat.</w:t>
            </w:r>
          </w:p>
        </w:tc>
      </w:tr>
    </w:tbl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Secretar al c</w:t>
      </w:r>
      <w:r w:rsidRPr="00FB344C">
        <w:rPr>
          <w:rFonts w:eastAsiaTheme="minorEastAsia"/>
          <w:sz w:val="28"/>
          <w:szCs w:val="28"/>
          <w:lang w:val="ro-RO"/>
        </w:rPr>
        <w:t>onsiliului sătesc                                             Svetlana Danu</w:t>
      </w:r>
    </w:p>
    <w:p w:rsidR="00735F23" w:rsidRPr="00FB344C" w:rsidRDefault="00735F23" w:rsidP="00735F23">
      <w:pPr>
        <w:rPr>
          <w:rFonts w:eastAsiaTheme="minorEastAsia"/>
          <w:sz w:val="28"/>
          <w:szCs w:val="28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ab/>
      </w: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Pr="00FB344C" w:rsidRDefault="00735F23" w:rsidP="00735F23">
      <w:pPr>
        <w:tabs>
          <w:tab w:val="left" w:pos="6768"/>
        </w:tabs>
        <w:rPr>
          <w:rFonts w:eastAsiaTheme="minorEastAsia"/>
          <w:sz w:val="24"/>
          <w:szCs w:val="24"/>
          <w:lang w:val="ro-RO"/>
        </w:rPr>
      </w:pPr>
    </w:p>
    <w:p w:rsidR="00735F23" w:rsidRPr="00FB344C" w:rsidRDefault="00735F23" w:rsidP="00735F23">
      <w:pPr>
        <w:rPr>
          <w:rFonts w:eastAsiaTheme="minorEastAsia"/>
          <w:sz w:val="24"/>
          <w:szCs w:val="24"/>
          <w:lang w:val="ro-RO"/>
        </w:rPr>
      </w:pPr>
    </w:p>
    <w:p w:rsidR="00735F23" w:rsidRDefault="00A97071" w:rsidP="00735F2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</w:t>
      </w:r>
    </w:p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  <w:r w:rsidRPr="00FB344C">
        <w:rPr>
          <w:rFonts w:eastAsiaTheme="minorEastAsia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  <w:lang w:val="ro-RO"/>
        </w:rPr>
        <w:t>Anexa nr.</w:t>
      </w:r>
      <w:r w:rsidRPr="00FB344C">
        <w:rPr>
          <w:rFonts w:eastAsiaTheme="minorEastAsia"/>
          <w:sz w:val="24"/>
          <w:szCs w:val="24"/>
          <w:lang w:val="ro-RO"/>
        </w:rPr>
        <w:t>2</w:t>
      </w:r>
    </w:p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  <w:r w:rsidRPr="00FB344C">
        <w:rPr>
          <w:rFonts w:eastAsiaTheme="minorEastAsia"/>
          <w:sz w:val="24"/>
          <w:szCs w:val="24"/>
          <w:lang w:val="ro-RO"/>
        </w:rPr>
        <w:t xml:space="preserve">                                                                                                                   la decizia consiliului sătesc</w:t>
      </w:r>
    </w:p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  <w:r w:rsidRPr="00FB344C">
        <w:rPr>
          <w:rFonts w:eastAsiaTheme="minorEastAsia"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rFonts w:eastAsiaTheme="minorEastAsia"/>
          <w:sz w:val="24"/>
          <w:szCs w:val="24"/>
          <w:lang w:val="ro-RO"/>
        </w:rPr>
        <w:t xml:space="preserve">                           nr.08</w:t>
      </w:r>
      <w:r w:rsidRPr="00FB344C">
        <w:rPr>
          <w:rFonts w:eastAsiaTheme="minorEastAsia"/>
          <w:sz w:val="24"/>
          <w:szCs w:val="24"/>
          <w:lang w:val="ro-RO"/>
        </w:rPr>
        <w:t>/0</w:t>
      </w:r>
      <w:r>
        <w:rPr>
          <w:rFonts w:eastAsiaTheme="minorEastAsia"/>
          <w:sz w:val="24"/>
          <w:szCs w:val="24"/>
          <w:lang w:val="ro-RO"/>
        </w:rPr>
        <w:t>2 din 09.12.2022</w:t>
      </w:r>
    </w:p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</w:p>
    <w:p w:rsidR="00A97071" w:rsidRPr="00FB344C" w:rsidRDefault="00A97071" w:rsidP="00A97071">
      <w:pPr>
        <w:rPr>
          <w:rFonts w:eastAsiaTheme="minorEastAsia"/>
          <w:b/>
          <w:sz w:val="24"/>
          <w:szCs w:val="24"/>
          <w:lang w:val="ro-RO"/>
        </w:rPr>
      </w:pPr>
      <w:r w:rsidRPr="00FB344C">
        <w:rPr>
          <w:rFonts w:eastAsiaTheme="minorEastAsia"/>
          <w:b/>
          <w:sz w:val="24"/>
          <w:szCs w:val="24"/>
          <w:lang w:val="ro-RO"/>
        </w:rPr>
        <w:t xml:space="preserve">                       Cotele taxei pentru unitățile comerciale și/sau prestări servicii </w:t>
      </w:r>
    </w:p>
    <w:p w:rsidR="00A97071" w:rsidRDefault="00A97071" w:rsidP="00A97071">
      <w:pPr>
        <w:rPr>
          <w:rFonts w:eastAsiaTheme="minorEastAsia"/>
          <w:b/>
          <w:sz w:val="24"/>
          <w:szCs w:val="24"/>
          <w:lang w:val="ro-RO"/>
        </w:rPr>
      </w:pPr>
      <w:r w:rsidRPr="00FB344C">
        <w:rPr>
          <w:rFonts w:eastAsiaTheme="minorEastAsia"/>
          <w:b/>
          <w:sz w:val="24"/>
          <w:szCs w:val="24"/>
          <w:lang w:val="ro-RO"/>
        </w:rPr>
        <w:t xml:space="preserve">                       pe teritoriul satului Pîrjolteni, r-nul Călărași </w:t>
      </w:r>
      <w:r>
        <w:rPr>
          <w:rFonts w:eastAsiaTheme="minorEastAsia"/>
          <w:b/>
          <w:sz w:val="24"/>
          <w:szCs w:val="24"/>
          <w:lang w:val="ro-RO"/>
        </w:rPr>
        <w:t>pentru anul 2023</w:t>
      </w:r>
    </w:p>
    <w:p w:rsidR="00A97071" w:rsidRDefault="00A97071" w:rsidP="00A97071">
      <w:pPr>
        <w:rPr>
          <w:rFonts w:eastAsiaTheme="minorEastAsia"/>
          <w:b/>
          <w:sz w:val="24"/>
          <w:szCs w:val="24"/>
          <w:lang w:val="ro-RO"/>
        </w:rPr>
      </w:pPr>
    </w:p>
    <w:p w:rsidR="00A97071" w:rsidRPr="00FB344C" w:rsidRDefault="00A97071" w:rsidP="00A97071">
      <w:pPr>
        <w:rPr>
          <w:rFonts w:eastAsiaTheme="minorEastAsia"/>
          <w:b/>
          <w:i/>
          <w:sz w:val="24"/>
          <w:szCs w:val="24"/>
          <w:lang w:val="ro-RO"/>
        </w:rPr>
      </w:pPr>
    </w:p>
    <w:tbl>
      <w:tblPr>
        <w:tblStyle w:val="GrilTabel"/>
        <w:tblW w:w="10349" w:type="dxa"/>
        <w:tblInd w:w="-176" w:type="dxa"/>
        <w:tblLook w:val="04A0" w:firstRow="1" w:lastRow="0" w:firstColumn="1" w:lastColumn="0" w:noHBand="0" w:noVBand="1"/>
      </w:tblPr>
      <w:tblGrid>
        <w:gridCol w:w="5624"/>
        <w:gridCol w:w="4725"/>
      </w:tblGrid>
      <w:tr w:rsidR="00A97071" w:rsidRPr="003E2870" w:rsidTr="00E85E3B">
        <w:tc>
          <w:tcPr>
            <w:tcW w:w="5624" w:type="dxa"/>
            <w:shd w:val="clear" w:color="auto" w:fill="F2F2F2" w:themeFill="background1" w:themeFillShade="F2"/>
          </w:tcPr>
          <w:p w:rsidR="00A97071" w:rsidRPr="003E2870" w:rsidRDefault="00A97071" w:rsidP="00E85E3B">
            <w:pPr>
              <w:spacing w:after="160" w:line="259" w:lineRule="auto"/>
              <w:rPr>
                <w:rFonts w:eastAsiaTheme="minorHAnsi"/>
                <w:b/>
                <w:lang w:val="ro-RO" w:eastAsia="en-US"/>
              </w:rPr>
            </w:pPr>
          </w:p>
          <w:p w:rsidR="00A97071" w:rsidRPr="003E2870" w:rsidRDefault="00A97071" w:rsidP="00E85E3B">
            <w:pPr>
              <w:spacing w:after="160" w:line="259" w:lineRule="auto"/>
              <w:jc w:val="center"/>
              <w:rPr>
                <w:rFonts w:eastAsiaTheme="minorHAnsi"/>
                <w:b/>
                <w:lang w:val="ro-RO" w:eastAsia="en-US"/>
              </w:rPr>
            </w:pPr>
            <w:r w:rsidRPr="003E2870">
              <w:rPr>
                <w:rFonts w:eastAsiaTheme="minorHAnsi"/>
                <w:b/>
                <w:lang w:val="ro-RO" w:eastAsia="en-US"/>
              </w:rPr>
              <w:t>Baza impozabilă a obiectului impunerii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:rsidR="00A97071" w:rsidRPr="003E2870" w:rsidRDefault="00A97071" w:rsidP="00E85E3B">
            <w:pPr>
              <w:spacing w:after="200" w:line="276" w:lineRule="auto"/>
              <w:rPr>
                <w:rFonts w:eastAsiaTheme="minorHAnsi"/>
                <w:b/>
                <w:lang w:val="ro-RO" w:eastAsia="en-US"/>
              </w:rPr>
            </w:pPr>
          </w:p>
          <w:p w:rsidR="00A97071" w:rsidRPr="003E2870" w:rsidRDefault="00A97071" w:rsidP="00E85E3B">
            <w:pPr>
              <w:spacing w:after="160" w:line="259" w:lineRule="auto"/>
              <w:ind w:left="252"/>
              <w:jc w:val="center"/>
              <w:rPr>
                <w:rFonts w:eastAsiaTheme="minorHAnsi"/>
                <w:b/>
                <w:lang w:val="ro-RO" w:eastAsia="en-US"/>
              </w:rPr>
            </w:pPr>
            <w:r w:rsidRPr="003E2870">
              <w:rPr>
                <w:rFonts w:eastAsiaTheme="minorHAnsi"/>
                <w:b/>
                <w:lang w:val="ro-RO" w:eastAsia="en-US"/>
              </w:rPr>
              <w:t>Cota anuală</w:t>
            </w:r>
          </w:p>
        </w:tc>
      </w:tr>
      <w:tr w:rsidR="00A97071" w:rsidRPr="003E2870" w:rsidTr="00E85E3B">
        <w:tc>
          <w:tcPr>
            <w:tcW w:w="5624" w:type="dxa"/>
          </w:tcPr>
          <w:p w:rsidR="00A97071" w:rsidRPr="003E2870" w:rsidRDefault="00A97071" w:rsidP="00E85E3B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shd w:val="clear" w:color="auto" w:fill="FFFFFF"/>
                <w:lang w:val="ro-RO" w:eastAsia="en-US"/>
              </w:rPr>
            </w:pPr>
            <w:r w:rsidRPr="003E2870">
              <w:rPr>
                <w:rFonts w:eastAsiaTheme="minorHAnsi"/>
                <w:color w:val="000000" w:themeColor="text1"/>
                <w:shd w:val="clear" w:color="auto" w:fill="FFFFFF"/>
                <w:lang w:val="ro-RO" w:eastAsia="en-US"/>
              </w:rPr>
              <w:t>Unitățile de comerț și/sau de prestări servicii care corespund activităților expuse în anexa nr.1 la Legea nr.231/2010 cu privire la comerțul interior</w:t>
            </w:r>
          </w:p>
        </w:tc>
        <w:tc>
          <w:tcPr>
            <w:tcW w:w="4725" w:type="dxa"/>
          </w:tcPr>
          <w:p w:rsidR="00A97071" w:rsidRPr="003E2870" w:rsidRDefault="00A97071" w:rsidP="00E85E3B">
            <w:pPr>
              <w:tabs>
                <w:tab w:val="left" w:pos="6450"/>
              </w:tabs>
              <w:spacing w:after="160" w:line="259" w:lineRule="auto"/>
              <w:jc w:val="center"/>
              <w:rPr>
                <w:rFonts w:eastAsiaTheme="minorHAnsi"/>
                <w:lang w:val="ro-RO" w:eastAsia="en-US"/>
              </w:rPr>
            </w:pPr>
            <w:r w:rsidRPr="003E2870">
              <w:rPr>
                <w:rFonts w:eastAsiaTheme="minorHAnsi"/>
                <w:lang w:val="ro-RO" w:eastAsia="en-US"/>
              </w:rPr>
              <w:t>____lei anual pentru fiecare unitate de comerț și/sau de prestări servicii</w:t>
            </w:r>
          </w:p>
        </w:tc>
      </w:tr>
    </w:tbl>
    <w:p w:rsidR="00A97071" w:rsidRPr="00FB344C" w:rsidRDefault="00A97071" w:rsidP="00A97071">
      <w:pPr>
        <w:rPr>
          <w:rFonts w:eastAsiaTheme="minorEastAsia"/>
          <w:b/>
          <w:sz w:val="24"/>
          <w:szCs w:val="24"/>
          <w:lang w:val="ro-RO"/>
        </w:rPr>
      </w:pPr>
    </w:p>
    <w:p w:rsidR="00A97071" w:rsidRPr="00FB344C" w:rsidRDefault="00A97071" w:rsidP="00A97071">
      <w:pPr>
        <w:rPr>
          <w:rFonts w:eastAsiaTheme="minorEastAsia"/>
          <w:b/>
          <w:sz w:val="24"/>
          <w:szCs w:val="24"/>
          <w:lang w:val="ro-RO"/>
        </w:rPr>
      </w:pPr>
    </w:p>
    <w:tbl>
      <w:tblPr>
        <w:tblW w:w="925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038"/>
        <w:gridCol w:w="4505"/>
      </w:tblGrid>
      <w:tr w:rsidR="00A97071" w:rsidRPr="00FB344C" w:rsidTr="00E85E3B">
        <w:trPr>
          <w:trHeight w:val="1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Nr. d/r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Tipul obiectului de comerț și/sau obiectul de prestări servicii </w:t>
            </w:r>
          </w:p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Cota taxei de bază pentru unitatea de comerț /de prestări servicii</w:t>
            </w:r>
          </w:p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( în lei pentru anul calendaristic)</w:t>
            </w:r>
          </w:p>
        </w:tc>
      </w:tr>
      <w:tr w:rsidR="00A97071" w:rsidRPr="00FB344C" w:rsidTr="00E85E3B">
        <w:trPr>
          <w:trHeight w:val="303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b/>
                <w:sz w:val="24"/>
                <w:szCs w:val="24"/>
                <w:lang w:val="ro-RO"/>
              </w:rPr>
              <w:t>Unități de comerț cu amănuntul</w:t>
            </w:r>
          </w:p>
        </w:tc>
      </w:tr>
      <w:tr w:rsidR="00A97071" w:rsidRPr="00FB344C" w:rsidTr="00E85E3B">
        <w:trPr>
          <w:trHeight w:val="9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en-GB"/>
              </w:rPr>
              <w:t>Magazine ce comercializează produse alimentare , b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ăuturi alcoolice, tutun, p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â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ine, cu suprafața de pînă la 100 m.p.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55</w:t>
            </w: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00 </w:t>
            </w: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</w:tc>
      </w:tr>
      <w:tr w:rsidR="00A97071" w:rsidRPr="00FB344C" w:rsidTr="00E85E3B">
        <w:trPr>
          <w:trHeight w:val="9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FB344C">
              <w:rPr>
                <w:rFonts w:eastAsiaTheme="minorEastAsia"/>
                <w:sz w:val="24"/>
                <w:szCs w:val="24"/>
                <w:lang w:val="en-GB"/>
              </w:rPr>
              <w:t>Magazine ce comercializează produse alimentare , b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ăuturi alcoolice, tutun, p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â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ine, cu suprafața de peste 100 m.p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10000</w:t>
            </w:r>
          </w:p>
        </w:tc>
      </w:tr>
      <w:tr w:rsidR="00A97071" w:rsidRPr="00FB344C" w:rsidTr="00E85E3B"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2.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en-GB"/>
              </w:rPr>
              <w:t xml:space="preserve">Magazine ce comercializează mărfuri industriale şi de uz casnic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3000 </w:t>
            </w: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</w:tc>
      </w:tr>
      <w:tr w:rsidR="00A97071" w:rsidRPr="00FB344C" w:rsidTr="00E85E3B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FB344C">
              <w:rPr>
                <w:rFonts w:eastAsiaTheme="minorEastAsia"/>
                <w:sz w:val="24"/>
                <w:szCs w:val="24"/>
                <w:lang w:val="en-GB"/>
              </w:rPr>
              <w:t xml:space="preserve">Magazine ce 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c</w:t>
            </w:r>
            <w:r w:rsidRPr="00FB344C">
              <w:rPr>
                <w:rFonts w:eastAsiaTheme="minorEastAsia"/>
                <w:sz w:val="24"/>
                <w:szCs w:val="24"/>
                <w:lang w:val="en-GB"/>
              </w:rPr>
              <w:t>omercializează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  <w:r w:rsidRPr="00FB344C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materiele </w:t>
            </w:r>
            <w:r w:rsidRPr="00FB344C">
              <w:rPr>
                <w:rFonts w:eastAsiaTheme="minorEastAsia"/>
                <w:sz w:val="24"/>
                <w:szCs w:val="24"/>
                <w:lang w:val="en-GB"/>
              </w:rPr>
              <w:t xml:space="preserve"> de 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 construcție</w:t>
            </w:r>
            <w:r w:rsidRPr="00FB344C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40</w:t>
            </w: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000 </w:t>
            </w: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</w:tc>
      </w:tr>
      <w:tr w:rsidR="00A97071" w:rsidRPr="00FB344C" w:rsidTr="00E85E3B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FB344C">
              <w:rPr>
                <w:rFonts w:eastAsiaTheme="minorEastAsia"/>
                <w:sz w:val="24"/>
                <w:szCs w:val="24"/>
                <w:lang w:val="en-GB"/>
              </w:rPr>
              <w:t>Farmacie</w:t>
            </w:r>
          </w:p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60</w:t>
            </w: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00 </w:t>
            </w: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</w:tc>
      </w:tr>
      <w:tr w:rsidR="00A97071" w:rsidRPr="00FB344C" w:rsidTr="00E85E3B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5</w:t>
            </w:r>
            <w:r w:rsidRPr="00FB344C">
              <w:rPr>
                <w:rFonts w:eastAsiaTheme="minorEastAsia"/>
                <w:sz w:val="24"/>
                <w:szCs w:val="24"/>
                <w:lang w:val="ro-RO"/>
              </w:rPr>
              <w:t>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71" w:rsidRPr="00FB344C" w:rsidRDefault="00A97071" w:rsidP="00E85E3B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 w:rsidRPr="00FB344C">
              <w:rPr>
                <w:rFonts w:eastAsiaTheme="minorEastAsia"/>
                <w:sz w:val="24"/>
                <w:szCs w:val="24"/>
                <w:lang w:val="ro-RO"/>
              </w:rPr>
              <w:t>Comerț cu amănuntul al produselor alimentare efectuat prin standuri, chioșcuri prin intermediul unității mobile</w:t>
            </w:r>
            <w:r w:rsidRPr="00FB344C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</w:p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>45</w:t>
            </w:r>
            <w:r w:rsidRPr="00FB344C">
              <w:rPr>
                <w:rFonts w:eastAsiaTheme="minorEastAsia"/>
                <w:sz w:val="24"/>
                <w:szCs w:val="24"/>
                <w:lang w:val="ro-RO"/>
              </w:rPr>
              <w:t xml:space="preserve">00 </w:t>
            </w:r>
          </w:p>
        </w:tc>
      </w:tr>
      <w:tr w:rsidR="00A97071" w:rsidRPr="00FB344C" w:rsidTr="00E85E3B">
        <w:trPr>
          <w:trHeight w:val="476"/>
        </w:trPr>
        <w:tc>
          <w:tcPr>
            <w:tcW w:w="9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7071" w:rsidRPr="00FB344C" w:rsidRDefault="00A97071" w:rsidP="00E85E3B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val="ro-RO"/>
              </w:rPr>
            </w:pPr>
          </w:p>
        </w:tc>
      </w:tr>
    </w:tbl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  <w:r w:rsidRPr="00FB344C">
        <w:rPr>
          <w:rFonts w:eastAsiaTheme="minorEastAsia"/>
          <w:sz w:val="24"/>
          <w:szCs w:val="24"/>
          <w:lang w:val="ro-RO"/>
        </w:rPr>
        <w:t xml:space="preserve"> </w:t>
      </w:r>
    </w:p>
    <w:p w:rsidR="00A97071" w:rsidRPr="00FB344C" w:rsidRDefault="00A97071" w:rsidP="00A97071">
      <w:pPr>
        <w:rPr>
          <w:rFonts w:eastAsiaTheme="minorEastAsia"/>
          <w:sz w:val="24"/>
          <w:szCs w:val="24"/>
          <w:lang w:val="ro-RO"/>
        </w:rPr>
      </w:pPr>
    </w:p>
    <w:p w:rsidR="00735F23" w:rsidRPr="00A97071" w:rsidRDefault="00A97071">
      <w:pPr>
        <w:rPr>
          <w:rFonts w:eastAsiaTheme="minorEastAsia"/>
          <w:sz w:val="28"/>
          <w:szCs w:val="28"/>
          <w:lang w:val="ro-RO"/>
        </w:rPr>
      </w:pPr>
      <w:r w:rsidRPr="003C1A3D">
        <w:rPr>
          <w:rFonts w:eastAsiaTheme="minorEastAsia"/>
          <w:sz w:val="28"/>
          <w:szCs w:val="28"/>
          <w:lang w:val="ro-RO"/>
        </w:rPr>
        <w:t xml:space="preserve"> Secretar al consiliului sătesc                               Svetlana Danu</w:t>
      </w:r>
      <w:bookmarkStart w:id="0" w:name="_GoBack"/>
      <w:bookmarkEnd w:id="0"/>
    </w:p>
    <w:sectPr w:rsidR="00735F23" w:rsidRPr="00A97071" w:rsidSect="00735F23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12A"/>
    <w:multiLevelType w:val="hybridMultilevel"/>
    <w:tmpl w:val="ADAA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43"/>
    <w:rsid w:val="00244143"/>
    <w:rsid w:val="00735F23"/>
    <w:rsid w:val="00A97071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44143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244143"/>
    <w:rPr>
      <w:color w:val="0000FF" w:themeColor="hyperlink"/>
      <w:u w:val="single"/>
    </w:rPr>
  </w:style>
  <w:style w:type="table" w:styleId="GrilTabel">
    <w:name w:val="Table Grid"/>
    <w:basedOn w:val="TabelNormal"/>
    <w:uiPriority w:val="39"/>
    <w:rsid w:val="00A9707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44143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244143"/>
    <w:rPr>
      <w:color w:val="0000FF" w:themeColor="hyperlink"/>
      <w:u w:val="single"/>
    </w:rPr>
  </w:style>
  <w:style w:type="table" w:styleId="GrilTabel">
    <w:name w:val="Table Grid"/>
    <w:basedOn w:val="TabelNormal"/>
    <w:uiPriority w:val="39"/>
    <w:rsid w:val="00A9707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dcterms:created xsi:type="dcterms:W3CDTF">2022-11-29T08:48:00Z</dcterms:created>
  <dcterms:modified xsi:type="dcterms:W3CDTF">2022-11-29T10:00:00Z</dcterms:modified>
</cp:coreProperties>
</file>