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9A" w:rsidRPr="00B86D9A" w:rsidRDefault="00B86D9A" w:rsidP="00B86D9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</w:pPr>
      <w:proofErr w:type="spellStart"/>
      <w:proofErr w:type="gramStart"/>
      <w:r w:rsidRPr="00B86D9A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>Anexa</w:t>
      </w:r>
      <w:proofErr w:type="spellEnd"/>
      <w:r w:rsidRPr="00B86D9A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B86D9A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>nr</w:t>
      </w:r>
      <w:proofErr w:type="spellEnd"/>
      <w:r w:rsidRPr="00B86D9A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>.</w:t>
      </w:r>
      <w:proofErr w:type="gramEnd"/>
      <w:r w:rsidRPr="00B86D9A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 xml:space="preserve"> 2</w:t>
      </w:r>
    </w:p>
    <w:p w:rsidR="00B86D9A" w:rsidRPr="00B86D9A" w:rsidRDefault="00B86D9A" w:rsidP="00B86D9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</w:pPr>
      <w:proofErr w:type="gramStart"/>
      <w:r w:rsidRPr="00B86D9A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la</w:t>
      </w:r>
      <w:proofErr w:type="gramEnd"/>
      <w:r w:rsidRPr="00B86D9A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86D9A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proiectul</w:t>
      </w:r>
      <w:proofErr w:type="spellEnd"/>
      <w:r w:rsidRPr="00B86D9A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Pr="00B86D9A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decizie</w:t>
      </w:r>
      <w:proofErr w:type="spellEnd"/>
      <w:r w:rsidRPr="00B86D9A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 xml:space="preserve">   9/4 din </w:t>
      </w:r>
      <w:proofErr w:type="spellStart"/>
      <w:r w:rsidRPr="00B86D9A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noiembrie</w:t>
      </w:r>
      <w:proofErr w:type="spellEnd"/>
      <w:r w:rsidRPr="00B86D9A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 xml:space="preserve"> 2025</w:t>
      </w: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B86D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                     </w:t>
      </w:r>
      <w:r w:rsidRPr="00B86D9A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REPUBLICA MOLDOVA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B86D9A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RAIONUL ORHEI CONSILIUL </w:t>
      </w:r>
      <w:proofErr w:type="gramStart"/>
      <w:r w:rsidRPr="00B86D9A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SĂTESC  NECULĂIEUCA</w:t>
      </w:r>
      <w:proofErr w:type="gramEnd"/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B86D9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36177A" wp14:editId="092FA16E">
            <wp:extent cx="685800" cy="723900"/>
            <wp:effectExtent l="0" t="0" r="0" b="0"/>
            <wp:docPr id="1" name="Imagin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</w:pPr>
      <w:r w:rsidRPr="00B86D9A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MD 3539 s. Neculăieuca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</w:pPr>
      <w:r w:rsidRPr="00B86D9A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Tel. (235)-60-2-36; 60-2-38; 60-3-82;   C/f 1007601006438</w:t>
      </w:r>
    </w:p>
    <w:p w:rsidR="00B86D9A" w:rsidRPr="00B86D9A" w:rsidRDefault="00B86D9A" w:rsidP="00B86D9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ro-RO" w:eastAsia="ru-RU"/>
        </w:rPr>
      </w:pPr>
      <w:r w:rsidRPr="00B86D9A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e-mail:primaria.neculaieuca@apl.gov.md;     https://primarianeculaieuca.sat.md</w:t>
      </w: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PROIECT</w:t>
      </w: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                                DECIZIA  nr.   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   2025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aprobarea şi punerea</w:t>
      </w: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B86D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în aplicare a taxelor locale pentru </w:t>
      </w:r>
      <w:r w:rsidRPr="00B86D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>anul 2026</w:t>
      </w:r>
      <w:r w:rsidRPr="00B86D9A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/>
          <w:lang w:val="ro-RO" w:eastAsia="ru-RU"/>
        </w:rPr>
        <w:t xml:space="preserve">                                                                                                 </w:t>
      </w:r>
      <w:r w:rsidRPr="00B86D9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                        </w:t>
      </w:r>
    </w:p>
    <w:p w:rsidR="00B86D9A" w:rsidRPr="00B86D9A" w:rsidRDefault="00B86D9A" w:rsidP="00B86D9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keepNext/>
        <w:keepLines/>
        <w:shd w:val="clear" w:color="auto" w:fill="FFFFFF"/>
        <w:spacing w:before="165" w:after="165" w:line="240" w:lineRule="auto"/>
        <w:jc w:val="both"/>
        <w:outlineLvl w:val="3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</w:pP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lang w:val="ro-RO"/>
        </w:rPr>
        <w:t xml:space="preserve">   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În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conformitate cu Titlul VII ,,Taxele locale’’ din Codul fiscal,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art.14  alin.2  lit. a), art.19  alin.4,  art.22  alin.1 din 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Legea privind administrația publică locală nr. 436/2006, Legea privind finanțele publice nr.397/2003, Legea finanțelor publice și responsabilității bugetar fiscal nr. 181 din 25.07.2014, Legea nr. 235/2006 cu privire la principiile de bază de reglementare a activităţii de întreprinzător,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Legea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privind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reglementarea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prin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autorizare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a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activităţii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întreprinzător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nr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. 160</w:t>
      </w:r>
      <w:proofErr w:type="gram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  din</w:t>
      </w:r>
      <w:proofErr w:type="gram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  22.07.2011,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Legea cu privire la publicitate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nr</w:t>
      </w:r>
      <w:proofErr w:type="spellEnd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. 62 /2022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,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/>
        </w:rPr>
        <w:t>Legea cu privire la comerţul interior nr.231 din 23.09.2010, Hotărârea Guvernului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</w:t>
      </w:r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privire</w:t>
      </w:r>
      <w:proofErr w:type="spellEnd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aprobarea</w:t>
      </w:r>
      <w:proofErr w:type="spellEnd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regulamentelor</w:t>
      </w:r>
      <w:proofErr w:type="spellEnd"/>
      <w:r w:rsidRPr="00B86D9A"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și</w:t>
      </w:r>
      <w:proofErr w:type="spellEnd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regulilor</w:t>
      </w:r>
      <w:proofErr w:type="spellEnd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 xml:space="preserve"> din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comerțul</w:t>
      </w:r>
      <w:proofErr w:type="spellEnd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 xml:space="preserve"> interior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și</w:t>
      </w:r>
      <w:proofErr w:type="spellEnd"/>
      <w:r w:rsidRPr="00B86D9A"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abrogarea</w:t>
      </w:r>
      <w:proofErr w:type="spellEnd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unor</w:t>
      </w:r>
      <w:proofErr w:type="spellEnd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hotărâri</w:t>
      </w:r>
      <w:proofErr w:type="spellEnd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 xml:space="preserve"> ale </w:t>
      </w:r>
      <w:proofErr w:type="spellStart"/>
      <w:r w:rsidRPr="00B86D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  <w:t>Guvernului</w:t>
      </w:r>
      <w:proofErr w:type="spellEnd"/>
      <w:r w:rsidRPr="00B86D9A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nr.206  din 12.04.2023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,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/>
        </w:rPr>
        <w:t>Hotărârea Guvernului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nr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. 643  din  27.05.2003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privire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aprobarea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Normelor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metodologice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şi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criteriilor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clasificare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a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structurilor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primire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turistică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cu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funcţiuni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cazare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şi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servire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mesei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și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avizul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comisiei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consultative  de 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specialitate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activități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economico-financiare</w:t>
      </w:r>
      <w:proofErr w:type="spellEnd"/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 xml:space="preserve">, 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Consiliul  Sătesc  Neculăieuca,  </w:t>
      </w:r>
      <w:r w:rsidRPr="00B86D9A"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24"/>
          <w:szCs w:val="24"/>
          <w:lang w:val="ro-RO"/>
        </w:rPr>
        <w:t>DECIDE</w:t>
      </w:r>
      <w:r w:rsidRPr="00B86D9A">
        <w:rPr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lang w:val="ro-RO"/>
        </w:rPr>
        <w:t>:</w:t>
      </w:r>
    </w:p>
    <w:p w:rsidR="00B86D9A" w:rsidRPr="00B86D9A" w:rsidRDefault="00B86D9A" w:rsidP="00B86D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B86D9A" w:rsidRPr="00B86D9A" w:rsidRDefault="00B86D9A" w:rsidP="00B86D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Se stabilesc următoarele taxele locale conform titlului VII al Codului fiscal,  pe  teritoriul  satului  Neculăieuca, începând  cu  01.01.2026 </w:t>
      </w:r>
    </w:p>
    <w:p w:rsidR="00B86D9A" w:rsidRPr="00B86D9A" w:rsidRDefault="00B86D9A" w:rsidP="00B86D9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86D9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Taxa pentru  amenajarea  teritoriului</w:t>
      </w:r>
    </w:p>
    <w:p w:rsidR="00B86D9A" w:rsidRPr="00B86D9A" w:rsidRDefault="00B86D9A" w:rsidP="00B86D9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>Taxa pentru unităţile comerciale şi/sau de prestări servicii</w:t>
      </w:r>
    </w:p>
    <w:p w:rsidR="00B86D9A" w:rsidRPr="00B86D9A" w:rsidRDefault="00B86D9A" w:rsidP="00B86D9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>Taxa  pentru  salubrizare</w:t>
      </w:r>
    </w:p>
    <w:p w:rsidR="00B86D9A" w:rsidRPr="00B86D9A" w:rsidRDefault="00B86D9A" w:rsidP="00B86D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</w:t>
      </w:r>
      <w:r w:rsidRPr="00B86D9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stabilesc   următoarele  cote  concrete  a  taxelor   locale </w:t>
      </w:r>
    </w:p>
    <w:p w:rsidR="00B86D9A" w:rsidRPr="00B86D9A" w:rsidRDefault="00B86D9A" w:rsidP="00B86D9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B86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Taxa pentru  amenajarea  teritoriului</w:t>
      </w:r>
    </w:p>
    <w:p w:rsidR="00B86D9A" w:rsidRPr="00B86D9A" w:rsidRDefault="00B86D9A" w:rsidP="00B86D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>Cu  baza  impozabilă  a  obiectului  impunerii-numărul  mediu  scriptic  trimestrial  al  salariaților  și, suplimentar:</w:t>
      </w:r>
    </w:p>
    <w:p w:rsidR="00B86D9A" w:rsidRPr="00B86D9A" w:rsidRDefault="00B86D9A" w:rsidP="00B86D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>În  cazul  întreprinderilor  individuale  și  gospodăriilor  țărănești (de  fermier) - fondatorii  întreprinderii  individuale, fondatorul  și  membrii  gospodăriilor  țărănești (de  fermier);</w:t>
      </w:r>
    </w:p>
    <w:p w:rsidR="00B86D9A" w:rsidRPr="00B86D9A" w:rsidRDefault="00B86D9A" w:rsidP="00B86D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>În  cazul persoanelor  care  desfășoară  activitate  profesională  în  sectorul  justiției – numărul  de  persoane  abilitate  prin  lege  pentru  desfășurarea  activității  profesionale  în  sectorul  justiției;</w:t>
      </w:r>
    </w:p>
    <w:p w:rsidR="00B86D9A" w:rsidRPr="00B86D9A" w:rsidRDefault="00B86D9A" w:rsidP="00B86D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 stabilește - </w:t>
      </w:r>
      <w:r w:rsidRPr="00B86D9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100 lei</w:t>
      </w:r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anual  pentru  fiecare  salariat  și/sau  fondator  al  întreprinderii  individuale, al 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>gospodărieu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țărănești (de fermier), de  asemenea  </w:t>
      </w:r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membrii  acesteia  și/ sau pentru  fiecare  persoană  ce  desfășoară  activitate  profesională  în  sectorul  justiției (</w:t>
      </w:r>
      <w:r w:rsidRPr="00B86D9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anexa nr. 1</w:t>
      </w:r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>).</w:t>
      </w:r>
    </w:p>
    <w:p w:rsidR="00B86D9A" w:rsidRPr="00B86D9A" w:rsidRDefault="00B86D9A" w:rsidP="00B86D9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:rsidR="00B86D9A" w:rsidRPr="00B86D9A" w:rsidRDefault="00B86D9A" w:rsidP="00B86D9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:rsidR="00B86D9A" w:rsidRPr="00B86D9A" w:rsidRDefault="00B86D9A" w:rsidP="00B86D9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86D9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Taxa pentru unităţile comerciale şi/sau de prestări servicii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cotele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acesteia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expuse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 la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nr.231/2010 cu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comerțul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interior (</w:t>
      </w:r>
      <w:r w:rsidRPr="00B86D9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conform </w:t>
      </w:r>
      <w:proofErr w:type="spellStart"/>
      <w:r w:rsidRPr="00B86D9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anexei</w:t>
      </w:r>
      <w:proofErr w:type="spellEnd"/>
      <w:r w:rsidRPr="00B86D9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nr.2 </w:t>
      </w:r>
      <w:r w:rsidRPr="00B86D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B86D9A" w:rsidRPr="00B86D9A" w:rsidRDefault="00B86D9A" w:rsidP="00B86D9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86D9A" w:rsidRPr="00B86D9A" w:rsidRDefault="00B86D9A" w:rsidP="00B86D9A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86D9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Taxa  pentru  salubrizare</w:t>
      </w:r>
    </w:p>
    <w:p w:rsidR="00B86D9A" w:rsidRPr="00B86D9A" w:rsidRDefault="00B86D9A" w:rsidP="00B86D9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B86D9A">
        <w:rPr>
          <w:sz w:val="24"/>
          <w:szCs w:val="24"/>
          <w:lang w:val="ro-RO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înregistrate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declarată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domiciliu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situației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din 1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2026 - 180 lei/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înscris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respectivă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" cu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excepția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cu grad sever de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dezabilitate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vîrsta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de 18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cu grad sever de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dezabilitate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atins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vîrsta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de 85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traiul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permanent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afara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D9A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B86D9A">
        <w:rPr>
          <w:rFonts w:ascii="Times New Roman" w:hAnsi="Times New Roman" w:cs="Times New Roman"/>
          <w:sz w:val="24"/>
          <w:szCs w:val="24"/>
          <w:lang w:val="en-US"/>
        </w:rPr>
        <w:t xml:space="preserve"> Moldova.</w:t>
      </w:r>
      <w:r w:rsidRPr="00B86D9A">
        <w:rPr>
          <w:lang w:val="en-US"/>
        </w:rPr>
        <w:t xml:space="preserve"> </w:t>
      </w:r>
      <w:r w:rsidRPr="00B86D9A">
        <w:rPr>
          <w:sz w:val="24"/>
          <w:szCs w:val="24"/>
          <w:lang w:val="ro-RO"/>
        </w:rPr>
        <w:t xml:space="preserve"> </w:t>
      </w:r>
      <w:r w:rsidRPr="00B86D9A">
        <w:rPr>
          <w:i/>
          <w:sz w:val="24"/>
          <w:szCs w:val="24"/>
          <w:lang w:val="ro-RO"/>
        </w:rPr>
        <w:t>(conform anexei nr.1)</w:t>
      </w:r>
      <w:r w:rsidRPr="00B86D9A">
        <w:rPr>
          <w:sz w:val="24"/>
          <w:szCs w:val="24"/>
          <w:lang w:val="ro-RO"/>
        </w:rPr>
        <w:t>.</w:t>
      </w:r>
    </w:p>
    <w:p w:rsidR="00B86D9A" w:rsidRPr="00B86D9A" w:rsidRDefault="00B86D9A" w:rsidP="00B86D9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86D9A" w:rsidRPr="00B86D9A" w:rsidRDefault="00B86D9A" w:rsidP="00B86D9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Subiecţii impunerii, baza impozabilă a obiectelor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>impunetii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4"/>
          <w:lang w:val="ro-RO"/>
        </w:rPr>
        <w:t>, modul de calcularea, termenele de achitarea şi de prezentarea dării de seamă la taxele locale stabilite, conform Titlului VII al Codului fiscal.</w:t>
      </w:r>
    </w:p>
    <w:p w:rsidR="00B86D9A" w:rsidRPr="00B86D9A" w:rsidRDefault="00B86D9A" w:rsidP="00B86D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Prezenta decizie  va  intra  în vigoare  la  01.01.2026,  în termen de 10 zile</w:t>
      </w:r>
      <w:r w:rsidRPr="00B86D9A">
        <w:rPr>
          <w:rFonts w:ascii="Times New Roman" w:eastAsia="Times New Roman" w:hAnsi="Times New Roman" w:cs="Times New Roman"/>
          <w:color w:val="FFFFFF"/>
          <w:sz w:val="24"/>
          <w:szCs w:val="24"/>
          <w:lang w:val="ro-RO" w:eastAsia="ru-RU"/>
        </w:rPr>
        <w:t xml:space="preserve"> </w:t>
      </w: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data adoptării urmează  a fi adusă la cunoştinţă  contribuabililor şi prezentată subdiviziunilor structurale teritoriale din cadrul  Serviciului Fiscal de Stat.</w:t>
      </w:r>
    </w:p>
    <w:p w:rsidR="00B86D9A" w:rsidRPr="00B86D9A" w:rsidRDefault="00B86D9A" w:rsidP="00B86D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Primarul, </w:t>
      </w:r>
      <w:proofErr w:type="spellStart"/>
      <w:r w:rsidRPr="00B86D9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Gavrilaș</w:t>
      </w:r>
      <w:proofErr w:type="spellEnd"/>
      <w:r w:rsidRPr="00B86D9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Elena și  comisia  de  specialitate  în  activități  economico-financiare   </w:t>
      </w: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vor asigura controlul executării prevederilor prezentei decizii.</w:t>
      </w:r>
      <w:r w:rsidRPr="00B86D9A">
        <w:rPr>
          <w:rFonts w:ascii="Times New Roman" w:eastAsia="Times New Roman" w:hAnsi="Times New Roman" w:cs="Times New Roman"/>
          <w:color w:val="FFFFFF"/>
          <w:sz w:val="24"/>
          <w:szCs w:val="24"/>
          <w:lang w:val="ro-RO" w:eastAsia="ru-RU"/>
        </w:rPr>
        <w:t xml:space="preserve">                                                                                                 </w:t>
      </w: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color w:val="FFFFFF"/>
          <w:sz w:val="24"/>
          <w:szCs w:val="24"/>
          <w:lang w:val="ro-RO" w:eastAsia="ru-RU"/>
        </w:rPr>
        <w:t xml:space="preserve"> </w:t>
      </w: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Preşedintele  şedinţei                 ___________________               </w:t>
      </w:r>
    </w:p>
    <w:p w:rsidR="00B86D9A" w:rsidRPr="00B86D9A" w:rsidRDefault="00B86D9A" w:rsidP="00B86D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Secretar   al   Consiliului Sătesc________________________    </w:t>
      </w:r>
      <w:proofErr w:type="spellStart"/>
      <w:r w:rsidRPr="00B8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Gînco</w:t>
      </w:r>
      <w:proofErr w:type="spellEnd"/>
      <w:r w:rsidRPr="00B8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Maria</w:t>
      </w: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en-US" w:eastAsia="ru-RU"/>
        </w:rPr>
      </w:pPr>
    </w:p>
    <w:p w:rsidR="00B86D9A" w:rsidRPr="00B86D9A" w:rsidRDefault="00B86D9A" w:rsidP="00B86D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color w:val="FFFFFF"/>
          <w:sz w:val="24"/>
          <w:szCs w:val="24"/>
          <w:lang w:val="ro-RO" w:eastAsia="ru-RU"/>
        </w:rPr>
        <w:t xml:space="preserve">                                                                                                                </w:t>
      </w: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 nr.1</w:t>
      </w: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  <w:t xml:space="preserve">                                                                        la decizia Consiliului Sătesc Neculăieuca</w:t>
      </w:r>
    </w:p>
    <w:p w:rsidR="00B86D9A" w:rsidRPr="00B86D9A" w:rsidRDefault="00B86D9A" w:rsidP="00B86D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         nr.     din  2025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</w:pPr>
      <w:r w:rsidRPr="00B86D9A"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  <w:t>Taxele locale, cotele şi înlesnirile fiscale ce se pun în aplicare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val="ro-RO" w:eastAsia="ru-RU"/>
        </w:rPr>
      </w:pPr>
      <w:r w:rsidRPr="00B86D9A"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  <w:t>pentru anul   2026 pe teritoriul</w:t>
      </w:r>
      <w:r w:rsidRPr="00B86D9A">
        <w:rPr>
          <w:rFonts w:ascii="Times New Roman" w:eastAsia="Times New Roman" w:hAnsi="Times New Roman" w:cs="Times New Roman"/>
          <w:b/>
          <w:color w:val="FFFFFF"/>
          <w:sz w:val="24"/>
          <w:szCs w:val="28"/>
          <w:u w:val="single"/>
          <w:lang w:val="ro-RO" w:eastAsia="ru-RU"/>
        </w:rPr>
        <w:t xml:space="preserve">   </w:t>
      </w:r>
      <w:r w:rsidRPr="00B86D9A">
        <w:rPr>
          <w:rFonts w:ascii="Times New Roman" w:eastAsia="Times New Roman" w:hAnsi="Times New Roman" w:cs="Times New Roman"/>
          <w:sz w:val="24"/>
          <w:szCs w:val="28"/>
          <w:u w:val="single"/>
          <w:lang w:val="ro-RO" w:eastAsia="ru-RU"/>
        </w:rPr>
        <w:t>UAT  Neculăieuca</w:t>
      </w:r>
    </w:p>
    <w:p w:rsidR="00B86D9A" w:rsidRPr="00B86D9A" w:rsidRDefault="00B86D9A" w:rsidP="00B86D9A">
      <w:pPr>
        <w:spacing w:after="0"/>
        <w:jc w:val="center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ro-RO"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270"/>
        <w:gridCol w:w="1701"/>
        <w:gridCol w:w="1276"/>
        <w:gridCol w:w="734"/>
        <w:gridCol w:w="1229"/>
        <w:gridCol w:w="2397"/>
      </w:tblGrid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  <w:t>Nr.</w:t>
            </w:r>
            <w:r w:rsidRPr="00B86D9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  <w:br/>
              <w:t>d/o</w:t>
            </w:r>
          </w:p>
        </w:tc>
        <w:tc>
          <w:tcPr>
            <w:tcW w:w="2270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  <w:t>Denumirea taxelor</w:t>
            </w:r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u-RU"/>
              </w:rPr>
              <w:t>Cota taxei de bază</w:t>
            </w: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  <w:t>(în lei  pentru anul calendaristic)</w:t>
            </w:r>
          </w:p>
        </w:tc>
        <w:tc>
          <w:tcPr>
            <w:tcW w:w="1276" w:type="dxa"/>
          </w:tcPr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u-RU"/>
              </w:rPr>
              <w:t>Coeficient pentru locul amplasării</w:t>
            </w: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  <w:t>(doar în cazul taxei de piaţa şi taxei pentru dispozitivele publicitare)</w:t>
            </w: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734" w:type="dxa"/>
            <w:shd w:val="clear" w:color="auto" w:fill="FFFFFF"/>
          </w:tcPr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  <w:t>Coeficient pentru tipul pieţei</w:t>
            </w: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  <w:t>(doar în cazul taxei de piaţa)</w:t>
            </w:r>
          </w:p>
        </w:tc>
        <w:tc>
          <w:tcPr>
            <w:tcW w:w="1229" w:type="dxa"/>
            <w:shd w:val="clear" w:color="auto" w:fill="FFFFFF"/>
          </w:tcPr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  <w:t>Coeficient pentru regimul de activitate a pieţei</w:t>
            </w:r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  <w:t>(doar în cazul taxei de piaţa)</w:t>
            </w:r>
          </w:p>
        </w:tc>
        <w:tc>
          <w:tcPr>
            <w:tcW w:w="2397" w:type="dxa"/>
            <w:shd w:val="clear" w:color="auto" w:fill="FFFFFF"/>
          </w:tcPr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ro-RO" w:eastAsia="ru-RU"/>
              </w:rPr>
              <w:t>Înlesnirile fiscale</w:t>
            </w:r>
            <w:r w:rsidRPr="00B86D9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en-US" w:eastAsia="ru-RU"/>
              </w:rPr>
              <w:t xml:space="preserve"> conform art.296</w:t>
            </w:r>
            <w:r w:rsidRPr="00B86D9A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  <w:t xml:space="preserve"> </w:t>
            </w:r>
            <w:r w:rsidRPr="00B86D9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en-US" w:eastAsia="ru-RU"/>
              </w:rPr>
              <w:t xml:space="preserve">din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en-US" w:eastAsia="ru-RU"/>
              </w:rPr>
              <w:t>Codul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en-US" w:eastAsia="ru-RU"/>
              </w:rPr>
              <w:t xml:space="preserve"> fiscal </w:t>
            </w:r>
            <w:r w:rsidRPr="00B86D9A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  <w:t xml:space="preserve">, </w:t>
            </w:r>
            <w:r w:rsidRPr="00B86D9A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u-RU"/>
              </w:rPr>
              <w:t xml:space="preserve">suplimentar celor stabilite prin art. 295 </w:t>
            </w:r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2270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o-RO" w:eastAsia="ru-RU"/>
              </w:rPr>
              <w:t>Ta</w:t>
            </w:r>
            <w:r w:rsidRPr="00B8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Taxa pentru amenaja</w:t>
            </w:r>
            <w:r w:rsidRPr="00B8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rea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teritoriului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100 lei</w:t>
            </w:r>
          </w:p>
        </w:tc>
        <w:tc>
          <w:tcPr>
            <w:tcW w:w="1276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X</w:t>
            </w:r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  <w:t>X</w:t>
            </w:r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2270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Taxa de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organizare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licitaţiilor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loteriilor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teritoriul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unităţii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administrativ-teritoriale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  <w:t>X</w:t>
            </w:r>
          </w:p>
        </w:tc>
        <w:tc>
          <w:tcPr>
            <w:tcW w:w="1276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  <w:t>X</w:t>
            </w:r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2270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Taxa de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plasare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amplasare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a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publicităţii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reclamei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  <w:t>X</w:t>
            </w:r>
          </w:p>
        </w:tc>
        <w:tc>
          <w:tcPr>
            <w:tcW w:w="1276" w:type="dxa"/>
          </w:tcPr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en-US" w:eastAsia="ru-RU"/>
              </w:rPr>
              <w:t xml:space="preserve">---  </w:t>
            </w: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X</w:t>
            </w:r>
            <w:r w:rsidRPr="00B86D9A"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en-US" w:eastAsia="ru-RU"/>
              </w:rPr>
              <w:t>X</w:t>
            </w:r>
            <w:proofErr w:type="spellEnd"/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  <w:t>X</w:t>
            </w:r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Taxa de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aplicare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simbolicii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locale</w:t>
            </w:r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Taxa de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piaţă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Taxa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pentru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cazare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Taxa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balneară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Taxa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pentru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parcare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Taxa de la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posesorii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cîini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Taxa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pentru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parcaj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Taxa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pentru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salubrizare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180 lei anual/persoană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1)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persoane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cu grad sever de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dezabilitate</w:t>
            </w:r>
            <w:proofErr w:type="spellEnd"/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2)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copii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până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la 18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ani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copii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cu grad sever de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dezabilitate</w:t>
            </w:r>
            <w:proofErr w:type="spellEnd"/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3)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persoanele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vârsta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de la 85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ani</w:t>
            </w:r>
            <w:proofErr w:type="spellEnd"/>
          </w:p>
          <w:p w:rsidR="00B86D9A" w:rsidRPr="00B86D9A" w:rsidRDefault="00B86D9A" w:rsidP="00B8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4)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persoanele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stabilite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traiul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peste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hotarele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țării</w:t>
            </w:r>
            <w:proofErr w:type="spellEnd"/>
          </w:p>
        </w:tc>
      </w:tr>
      <w:tr w:rsidR="00B86D9A" w:rsidRPr="00B86D9A" w:rsidTr="00BF49BA">
        <w:tc>
          <w:tcPr>
            <w:tcW w:w="537" w:type="dxa"/>
            <w:shd w:val="clear" w:color="auto" w:fill="auto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86D9A" w:rsidRPr="00B86D9A" w:rsidRDefault="00B86D9A" w:rsidP="00B86D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Taxa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pentru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dispozitivele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publicitare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  <w:r w:rsidRPr="00B86D9A"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  <w:t xml:space="preserve"> ____XX</w:t>
            </w:r>
          </w:p>
        </w:tc>
        <w:tc>
          <w:tcPr>
            <w:tcW w:w="734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  <w:tc>
          <w:tcPr>
            <w:tcW w:w="1229" w:type="dxa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7" w:type="dxa"/>
            <w:shd w:val="clear" w:color="auto" w:fill="auto"/>
          </w:tcPr>
          <w:p w:rsidR="00B86D9A" w:rsidRPr="00B86D9A" w:rsidRDefault="00B86D9A" w:rsidP="00B86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X</w:t>
            </w:r>
          </w:p>
        </w:tc>
      </w:tr>
    </w:tbl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</w:pPr>
      <w:r w:rsidRPr="00B86D9A"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  <w:t xml:space="preserve">Secretar  al  Consiliului  Sătesc                                     </w:t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  <w:t>Gînco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  <w:t xml:space="preserve"> Maria</w:t>
      </w:r>
    </w:p>
    <w:p w:rsidR="00B86D9A" w:rsidRPr="00B86D9A" w:rsidRDefault="00B86D9A" w:rsidP="00B86D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color w:val="FFFFFF"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 nr.2</w:t>
      </w: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  <w:t xml:space="preserve">                                                                        la decizia Consiliului Sătesc Neculăieuca</w:t>
      </w:r>
    </w:p>
    <w:p w:rsidR="00B86D9A" w:rsidRPr="00B86D9A" w:rsidRDefault="00B86D9A" w:rsidP="00B86D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         nr. din 2025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val="ro-RO" w:eastAsia="ru-RU"/>
        </w:rPr>
      </w:pPr>
      <w:r w:rsidRPr="00B86D9A">
        <w:rPr>
          <w:rFonts w:ascii="Times New Roman" w:eastAsia="Times New Roman" w:hAnsi="Times New Roman" w:cs="Times New Roman"/>
          <w:b/>
          <w:i/>
          <w:sz w:val="24"/>
          <w:szCs w:val="28"/>
          <w:lang w:val="ro-RO" w:eastAsia="ru-RU"/>
        </w:rPr>
        <w:t>Cotele taxei  pentru unităţile comerciale şi/sau de prestări servicii</w:t>
      </w:r>
    </w:p>
    <w:tbl>
      <w:tblPr>
        <w:tblStyle w:val="3"/>
        <w:tblpPr w:leftFromText="180" w:rightFromText="180" w:vertAnchor="text" w:horzAnchor="margin" w:tblpY="226"/>
        <w:tblW w:w="9918" w:type="dxa"/>
        <w:tblLook w:val="04A0" w:firstRow="1" w:lastRow="0" w:firstColumn="1" w:lastColumn="0" w:noHBand="0" w:noVBand="1"/>
      </w:tblPr>
      <w:tblGrid>
        <w:gridCol w:w="751"/>
        <w:gridCol w:w="2471"/>
        <w:gridCol w:w="1876"/>
        <w:gridCol w:w="1603"/>
        <w:gridCol w:w="1676"/>
        <w:gridCol w:w="1541"/>
      </w:tblGrid>
      <w:tr w:rsidR="00B86D9A" w:rsidRPr="00B86D9A" w:rsidTr="00BF49BA">
        <w:trPr>
          <w:trHeight w:val="2624"/>
        </w:trPr>
        <w:tc>
          <w:tcPr>
            <w:tcW w:w="751" w:type="dxa"/>
          </w:tcPr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Nr. d/or</w:t>
            </w:r>
          </w:p>
        </w:tc>
        <w:tc>
          <w:tcPr>
            <w:tcW w:w="2471" w:type="dxa"/>
          </w:tcPr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Tipul obiectului de comerț și/sau obiectului de prestări servicii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Cota taxei de bază pentru unitatea de comerţ/de prestări servicii </w:t>
            </w:r>
          </w:p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(</w:t>
            </w:r>
            <w:r w:rsidRPr="00B86D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în lei  pentru anul calendaristic</w:t>
            </w:r>
            <w:r w:rsidRPr="00B86D9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Coeficient pentru locul amplasării</w:t>
            </w:r>
          </w:p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(</w:t>
            </w:r>
            <w:r w:rsidRPr="00B86D9A">
              <w:rPr>
                <w:rFonts w:ascii="Times New Roman" w:eastAsia="Times New Roman" w:hAnsi="Times New Roman" w:cs="Times New Roman"/>
                <w:i/>
                <w:szCs w:val="24"/>
                <w:lang w:val="ro-RO" w:eastAsia="ru-RU"/>
              </w:rPr>
              <w:t>în  % la cota taxei de bază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Coeficient pentru tipul sau categoria de mărfuri realizate și a serviciilor prestate</w:t>
            </w:r>
          </w:p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</w:p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  (în % la cota taxei de bază)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Coeficientul pentru programul de activitate regim non-stop </w:t>
            </w:r>
          </w:p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(în % la cota taxei de bază)</w:t>
            </w:r>
          </w:p>
        </w:tc>
      </w:tr>
      <w:tr w:rsidR="00B86D9A" w:rsidRPr="00B86D9A" w:rsidTr="00BF49BA">
        <w:trPr>
          <w:trHeight w:val="323"/>
        </w:trPr>
        <w:tc>
          <w:tcPr>
            <w:tcW w:w="9918" w:type="dxa"/>
            <w:gridSpan w:val="6"/>
          </w:tcPr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  <w:t>Unitățile de comerţ cu amănuntul (conform HG nr.</w:t>
            </w:r>
            <w:r w:rsidRPr="00B86D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206</w:t>
            </w:r>
            <w:r w:rsidRPr="00B86D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 din  12.04.2023</w:t>
            </w:r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  <w:t xml:space="preserve"> )</w:t>
            </w:r>
          </w:p>
        </w:tc>
      </w:tr>
      <w:tr w:rsidR="00B86D9A" w:rsidRPr="00B86D9A" w:rsidTr="00BF49BA">
        <w:trPr>
          <w:trHeight w:val="240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1</w:t>
            </w: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-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până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la 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100 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</w:t>
            </w:r>
            <w:r w:rsidRPr="00B86D9A"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4000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</w:tr>
      <w:tr w:rsidR="00B86D9A" w:rsidRPr="00B86D9A" w:rsidTr="00BF49BA">
        <w:trPr>
          <w:trHeight w:val="240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-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de la … –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până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la ….m</w:t>
            </w:r>
            <w:r w:rsidRPr="00B86D9A"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vertAlign w:val="superscript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-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</w:tr>
      <w:tr w:rsidR="00B86D9A" w:rsidRPr="00B86D9A" w:rsidTr="00BF49BA">
        <w:trPr>
          <w:trHeight w:val="240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2.</w:t>
            </w: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Comerț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 ambulant  cu 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produse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alimentare</w:t>
            </w:r>
            <w:proofErr w:type="spellEnd"/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4000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</w:tr>
      <w:tr w:rsidR="00B86D9A" w:rsidRPr="00B86D9A" w:rsidTr="00BF49BA">
        <w:trPr>
          <w:trHeight w:val="240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</w:tr>
      <w:tr w:rsidR="00B86D9A" w:rsidRPr="00B86D9A" w:rsidTr="00BF49BA">
        <w:trPr>
          <w:trHeight w:val="414"/>
        </w:trPr>
        <w:tc>
          <w:tcPr>
            <w:tcW w:w="9918" w:type="dxa"/>
            <w:gridSpan w:val="6"/>
          </w:tcPr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  <w:t xml:space="preserve">Unitățile de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lang w:val="en-US" w:eastAsia="ru-RU"/>
              </w:rPr>
              <w:t>comerţ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lang w:val="en-US" w:eastAsia="ru-RU"/>
              </w:rPr>
              <w:t xml:space="preserve"> cash and carry</w:t>
            </w:r>
          </w:p>
        </w:tc>
      </w:tr>
      <w:tr w:rsidR="00B86D9A" w:rsidRPr="00B86D9A" w:rsidTr="00BF49BA">
        <w:trPr>
          <w:trHeight w:val="240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Obiectele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de </w:t>
            </w:r>
            <w:r w:rsidRPr="00B86D9A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lang w:val="en-US" w:eastAsia="ru-RU"/>
              </w:rPr>
              <w:t>comerţ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lang w:val="en-US" w:eastAsia="ru-RU"/>
              </w:rPr>
              <w:t xml:space="preserve"> cash and carry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</w:tr>
      <w:tr w:rsidR="00B86D9A" w:rsidRPr="00B86D9A" w:rsidTr="00BF49BA">
        <w:trPr>
          <w:trHeight w:val="240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-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pînă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la 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....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m</w:t>
            </w:r>
            <w:r w:rsidRPr="00B86D9A"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</w:t>
            </w:r>
          </w:p>
        </w:tc>
      </w:tr>
      <w:tr w:rsidR="00B86D9A" w:rsidRPr="00B86D9A" w:rsidTr="00BF49BA">
        <w:trPr>
          <w:trHeight w:val="240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-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de la … –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pînă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la ….m</w:t>
            </w:r>
            <w:r w:rsidRPr="00B86D9A"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</w:t>
            </w:r>
          </w:p>
        </w:tc>
      </w:tr>
      <w:tr w:rsidR="00B86D9A" w:rsidRPr="00B86D9A" w:rsidTr="00BF49BA">
        <w:trPr>
          <w:trHeight w:val="240"/>
        </w:trPr>
        <w:tc>
          <w:tcPr>
            <w:tcW w:w="9918" w:type="dxa"/>
            <w:gridSpan w:val="6"/>
          </w:tcPr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  <w:t>Unități de comerț cu ridicata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1</w:t>
            </w: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  <w:t>Î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ncăperi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de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depozitare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</w:p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a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produselor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cumpărăte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în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scopul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revînzării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acestora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către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alţi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comercianţi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sau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utilizatori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profesionali</w:t>
            </w:r>
            <w:proofErr w:type="spellEnd"/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</w:tr>
      <w:tr w:rsidR="00B86D9A" w:rsidRPr="00B86D9A" w:rsidTr="00BF49BA">
        <w:trPr>
          <w:trHeight w:val="240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</w:pP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-p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înă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la 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______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</w:t>
            </w:r>
            <w:r w:rsidRPr="00B86D9A"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--------------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de la … – 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pînă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la… m</w:t>
            </w:r>
            <w:r w:rsidRPr="00B86D9A"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 w:eastAsia="ru-RU"/>
              </w:rPr>
              <w:t>depozit  de  colectare  și comercializare  a  deșeurilor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---------------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</w:tr>
      <w:tr w:rsidR="00B86D9A" w:rsidRPr="00B86D9A" w:rsidTr="00BF49BA">
        <w:trPr>
          <w:trHeight w:val="227"/>
        </w:trPr>
        <w:tc>
          <w:tcPr>
            <w:tcW w:w="9918" w:type="dxa"/>
            <w:gridSpan w:val="6"/>
          </w:tcPr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  <w:t xml:space="preserve">Unități de alimentație publică (conform HG nr. </w:t>
            </w:r>
            <w:r w:rsidRPr="00B86D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 nr. 206 din 12.04.2023)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Complex de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alimentaţie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pgNum/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ublic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: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proofErr w:type="gram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pînă</w:t>
            </w:r>
            <w:proofErr w:type="spellEnd"/>
            <w:proofErr w:type="gramEnd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la ..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unităţi</w:t>
            </w:r>
            <w:proofErr w:type="spellEnd"/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de la …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unităţi</w:t>
            </w:r>
            <w:proofErr w:type="spellEnd"/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Restaurant 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-p</w:t>
            </w:r>
            <w:r w:rsidRPr="00B86D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înă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la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… 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locuri</w:t>
            </w:r>
            <w:proofErr w:type="spellEnd"/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B86D9A">
              <w:rPr>
                <w:rFonts w:ascii="Times New Roman" w:hAnsi="Times New Roman" w:cs="Times New Roman"/>
                <w:sz w:val="28"/>
                <w:szCs w:val="20"/>
              </w:rPr>
              <w:t>de</w:t>
            </w:r>
            <w:proofErr w:type="spellEnd"/>
            <w:r w:rsidRPr="00B86D9A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B86D9A">
              <w:rPr>
                <w:rFonts w:ascii="Times New Roman" w:hAnsi="Times New Roman" w:cs="Times New Roman"/>
                <w:sz w:val="28"/>
                <w:szCs w:val="20"/>
              </w:rPr>
              <w:t>la</w:t>
            </w:r>
            <w:proofErr w:type="spellEnd"/>
            <w:r w:rsidRPr="00B86D9A">
              <w:rPr>
                <w:rFonts w:ascii="Times New Roman" w:hAnsi="Times New Roman" w:cs="Times New Roman"/>
                <w:sz w:val="28"/>
                <w:szCs w:val="20"/>
              </w:rPr>
              <w:t xml:space="preserve"> …</w:t>
            </w:r>
            <w:proofErr w:type="spellStart"/>
            <w:r w:rsidRPr="00B86D9A">
              <w:rPr>
                <w:rFonts w:ascii="Times New Roman" w:hAnsi="Times New Roman" w:cs="Times New Roman"/>
                <w:sz w:val="28"/>
                <w:szCs w:val="20"/>
              </w:rPr>
              <w:t>pînă</w:t>
            </w:r>
            <w:proofErr w:type="spellEnd"/>
            <w:r w:rsidRPr="00B86D9A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B86D9A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la</w:t>
            </w:r>
            <w:proofErr w:type="spellEnd"/>
            <w:r w:rsidRPr="00B86D9A">
              <w:rPr>
                <w:rFonts w:ascii="Times New Roman" w:hAnsi="Times New Roman" w:cs="Times New Roman"/>
                <w:sz w:val="28"/>
                <w:szCs w:val="20"/>
              </w:rPr>
              <w:t>..</w:t>
            </w:r>
            <w:proofErr w:type="spellStart"/>
            <w:r w:rsidRPr="00B86D9A">
              <w:rPr>
                <w:rFonts w:ascii="Times New Roman" w:hAnsi="Times New Roman" w:cs="Times New Roman"/>
                <w:sz w:val="28"/>
                <w:szCs w:val="20"/>
              </w:rPr>
              <w:t>locuri</w:t>
            </w:r>
            <w:proofErr w:type="spellEnd"/>
          </w:p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Sala de festivităţi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lastRenderedPageBreak/>
              <w:t>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</w:t>
            </w: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</w:tr>
      <w:tr w:rsidR="00B86D9A" w:rsidRPr="00B86D9A" w:rsidTr="00BF49BA">
        <w:trPr>
          <w:trHeight w:val="227"/>
        </w:trPr>
        <w:tc>
          <w:tcPr>
            <w:tcW w:w="9918" w:type="dxa"/>
            <w:gridSpan w:val="6"/>
          </w:tcPr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  <w:t xml:space="preserve">Unități de prestări servicii </w:t>
            </w:r>
          </w:p>
          <w:p w:rsidR="00B86D9A" w:rsidRPr="00B86D9A" w:rsidRDefault="00B86D9A" w:rsidP="00B86D9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  <w:t>(</w:t>
            </w:r>
            <w:proofErr w:type="spellStart"/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  <w:t>Sectiunilor</w:t>
            </w:r>
            <w:proofErr w:type="spellEnd"/>
            <w:r w:rsidRPr="00B86D9A">
              <w:rPr>
                <w:rFonts w:ascii="Times New Roman" w:eastAsia="Times New Roman" w:hAnsi="Times New Roman" w:cs="Times New Roman"/>
                <w:b/>
                <w:szCs w:val="24"/>
                <w:lang w:val="ro-RO" w:eastAsia="ru-RU"/>
              </w:rPr>
              <w:t xml:space="preserve"> G (45.2), I, L,M, N,R şi S, diviziunile, grupele şi clasa, conform anexei nr. 1 la Legea nr.  231 din 23.09.2010)</w:t>
            </w:r>
          </w:p>
        </w:tc>
      </w:tr>
      <w:tr w:rsidR="00B86D9A" w:rsidRPr="00B86D9A" w:rsidTr="00BF49BA">
        <w:trPr>
          <w:trHeight w:val="227"/>
        </w:trPr>
        <w:tc>
          <w:tcPr>
            <w:tcW w:w="75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47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8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</w:t>
            </w:r>
          </w:p>
        </w:tc>
        <w:tc>
          <w:tcPr>
            <w:tcW w:w="1603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  <w:tc>
          <w:tcPr>
            <w:tcW w:w="1676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-----------------</w:t>
            </w:r>
          </w:p>
        </w:tc>
        <w:tc>
          <w:tcPr>
            <w:tcW w:w="1541" w:type="dxa"/>
          </w:tcPr>
          <w:p w:rsidR="00B86D9A" w:rsidRPr="00B86D9A" w:rsidRDefault="00B86D9A" w:rsidP="00B86D9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86D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----------------</w:t>
            </w:r>
          </w:p>
        </w:tc>
      </w:tr>
    </w:tbl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val="ro-RO" w:eastAsia="ru-RU"/>
        </w:rPr>
      </w:pPr>
      <w:r w:rsidRPr="00B86D9A">
        <w:rPr>
          <w:rFonts w:ascii="Times New Roman" w:eastAsia="Times New Roman" w:hAnsi="Times New Roman" w:cs="Times New Roman"/>
          <w:b/>
          <w:i/>
          <w:sz w:val="24"/>
          <w:szCs w:val="28"/>
          <w:lang w:val="ro-RO" w:eastAsia="ru-RU"/>
        </w:rPr>
        <w:t xml:space="preserve">     Note:     </w:t>
      </w:r>
    </w:p>
    <w:p w:rsidR="00B86D9A" w:rsidRPr="00B86D9A" w:rsidRDefault="00B86D9A" w:rsidP="00B86D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B86D9A"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  <w:t xml:space="preserve">    </w:t>
      </w:r>
      <w:r w:rsidRPr="00B86D9A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Taxa pentru unităţile comerciale şi/sau de prestări servicii se aplică</w:t>
      </w:r>
      <w:r w:rsidRPr="00B86D9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:</w:t>
      </w:r>
    </w:p>
    <w:p w:rsidR="00B86D9A" w:rsidRPr="00B86D9A" w:rsidRDefault="00B86D9A" w:rsidP="00B86D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B86D9A">
        <w:rPr>
          <w:rFonts w:ascii="Times New Roman" w:eastAsia="Times New Roman" w:hAnsi="Times New Roman" w:cs="Times New Roman"/>
          <w:b/>
          <w:sz w:val="16"/>
          <w:szCs w:val="16"/>
          <w:lang w:val="ro-RO"/>
        </w:rPr>
        <w:t>În cazul unităţilor de comerţ cu amănuntul</w:t>
      </w:r>
      <w:r w:rsidRPr="00B86D9A">
        <w:rPr>
          <w:rFonts w:ascii="Times New Roman" w:eastAsia="Times New Roman" w:hAnsi="Times New Roman" w:cs="Times New Roman"/>
          <w:sz w:val="16"/>
          <w:szCs w:val="16"/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B86D9A" w:rsidRPr="00B86D9A" w:rsidRDefault="00B86D9A" w:rsidP="00B86D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B86D9A">
        <w:rPr>
          <w:rFonts w:ascii="Times New Roman" w:eastAsia="Times New Roman" w:hAnsi="Times New Roman" w:cs="Times New Roman"/>
          <w:b/>
          <w:sz w:val="16"/>
          <w:szCs w:val="16"/>
          <w:lang w:val="ro-RO"/>
        </w:rPr>
        <w:t xml:space="preserve">În cazul unităților de </w:t>
      </w:r>
      <w:proofErr w:type="spellStart"/>
      <w:r w:rsidRPr="00B86D9A">
        <w:rPr>
          <w:rFonts w:ascii="Times New Roman" w:eastAsia="Times New Roman" w:hAnsi="Times New Roman" w:cs="Times New Roman"/>
          <w:b/>
          <w:i/>
          <w:iCs/>
          <w:sz w:val="16"/>
          <w:szCs w:val="16"/>
          <w:lang w:val="en-US"/>
        </w:rPr>
        <w:t>comerţ</w:t>
      </w:r>
      <w:proofErr w:type="spellEnd"/>
      <w:r w:rsidRPr="00B86D9A">
        <w:rPr>
          <w:rFonts w:ascii="Times New Roman" w:eastAsia="Times New Roman" w:hAnsi="Times New Roman" w:cs="Times New Roman"/>
          <w:b/>
          <w:i/>
          <w:iCs/>
          <w:sz w:val="16"/>
          <w:szCs w:val="16"/>
          <w:lang w:val="en-US"/>
        </w:rPr>
        <w:t xml:space="preserve"> cash and carry </w:t>
      </w:r>
      <w:r w:rsidRPr="00B86D9A">
        <w:rPr>
          <w:rFonts w:ascii="Times New Roman" w:eastAsia="Times New Roman" w:hAnsi="Times New Roman" w:cs="Times New Roman"/>
          <w:sz w:val="16"/>
          <w:szCs w:val="16"/>
          <w:lang w:val="ro-RO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B86D9A" w:rsidRPr="00B86D9A" w:rsidRDefault="00B86D9A" w:rsidP="00B86D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B86D9A">
        <w:rPr>
          <w:rFonts w:ascii="Times New Roman" w:eastAsia="Times New Roman" w:hAnsi="Times New Roman" w:cs="Times New Roman"/>
          <w:b/>
          <w:sz w:val="16"/>
          <w:szCs w:val="16"/>
          <w:lang w:val="ro-RO"/>
        </w:rPr>
        <w:t>În cazul unităţilor de comerţ cu ridicata</w:t>
      </w:r>
      <w:r w:rsidRPr="00B86D9A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B86D9A" w:rsidRPr="00B86D9A" w:rsidRDefault="00B86D9A" w:rsidP="00B86D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B86D9A">
        <w:rPr>
          <w:rFonts w:ascii="Times New Roman" w:eastAsia="Times New Roman" w:hAnsi="Times New Roman" w:cs="Times New Roman"/>
          <w:b/>
          <w:sz w:val="16"/>
          <w:szCs w:val="16"/>
          <w:lang w:val="ro-RO"/>
        </w:rPr>
        <w:t>În cazul unităților de alimentație publică</w:t>
      </w:r>
      <w:r w:rsidRPr="00B86D9A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în funcţie de: tipul obiectelor; numărul de locuri/suprafaţa comercială/pentru o unitate; locul amplasării;  programul de activitate;</w:t>
      </w:r>
    </w:p>
    <w:p w:rsidR="00B86D9A" w:rsidRPr="00B86D9A" w:rsidRDefault="00B86D9A" w:rsidP="00B86D9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B86D9A">
        <w:rPr>
          <w:rFonts w:ascii="Times New Roman" w:eastAsia="Times New Roman" w:hAnsi="Times New Roman" w:cs="Times New Roman"/>
          <w:b/>
          <w:sz w:val="16"/>
          <w:szCs w:val="16"/>
          <w:lang w:val="ro-RO"/>
        </w:rPr>
        <w:t>În cazul unităților de prestări servicii</w:t>
      </w:r>
      <w:r w:rsidRPr="00B86D9A">
        <w:rPr>
          <w:rFonts w:ascii="Times New Roman" w:eastAsia="Times New Roman" w:hAnsi="Times New Roman" w:cs="Times New Roman"/>
          <w:sz w:val="16"/>
          <w:szCs w:val="16"/>
          <w:lang w:val="ro-RO"/>
        </w:rPr>
        <w:t>, în funcţie de: tipul obiectelor; suprafaţa totală şi/sau pentru o unitate de prestări servicii; locul amplasării unităţii; tipul serviciilor prestate;  programul de activitate</w:t>
      </w:r>
    </w:p>
    <w:p w:rsidR="00B86D9A" w:rsidRPr="00B86D9A" w:rsidRDefault="00B86D9A" w:rsidP="00B86D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val="ro-RO" w:eastAsia="ru-RU"/>
        </w:rPr>
        <w:t xml:space="preserve">               </w:t>
      </w:r>
      <w:r w:rsidRPr="00B86D9A">
        <w:rPr>
          <w:rFonts w:ascii="Times New Roman" w:eastAsia="Times New Roman" w:hAnsi="Times New Roman" w:cs="Times New Roman"/>
          <w:color w:val="FFFFFF"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</w:pPr>
      <w:r w:rsidRPr="00B86D9A"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  <w:t xml:space="preserve">Secretar  al  Consiliului  Sătesc                             </w:t>
      </w:r>
      <w:r w:rsidRPr="00B86D9A"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  <w:tab/>
      </w:r>
      <w:proofErr w:type="spellStart"/>
      <w:r w:rsidRPr="00B86D9A"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  <w:t>Gînco</w:t>
      </w:r>
      <w:proofErr w:type="spellEnd"/>
      <w:r w:rsidRPr="00B86D9A"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  <w:t xml:space="preserve"> Maria       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 I S T A 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AGENŢILOR ECONOMICI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86D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  teritoriul  UAT  NECULĂIEUCA, raionul  Orhei</w:t>
      </w: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2083"/>
        <w:gridCol w:w="1878"/>
        <w:gridCol w:w="1527"/>
        <w:gridCol w:w="1354"/>
      </w:tblGrid>
      <w:tr w:rsidR="00B86D9A" w:rsidRPr="00B86D9A" w:rsidTr="00BF49B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9A" w:rsidRPr="00B86D9A" w:rsidRDefault="00B86D9A" w:rsidP="00B86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Denumirea agentului economic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9A" w:rsidRPr="00B86D9A" w:rsidRDefault="00B86D9A" w:rsidP="00B86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 fiscal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9A" w:rsidRPr="00B86D9A" w:rsidRDefault="00B86D9A" w:rsidP="00B86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Conducător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9A" w:rsidRPr="00B86D9A" w:rsidRDefault="00B86D9A" w:rsidP="00B86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Suprafaţa m.p.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9A" w:rsidRPr="00B86D9A" w:rsidRDefault="00B86D9A" w:rsidP="00B86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activitatea</w:t>
            </w:r>
          </w:p>
        </w:tc>
      </w:tr>
      <w:tr w:rsidR="00B86D9A" w:rsidRPr="00B86D9A" w:rsidTr="00BF49B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9A" w:rsidRPr="00B86D9A" w:rsidRDefault="00B86D9A" w:rsidP="00B86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Î.I. „ALEXEI STAVILĂ”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9A" w:rsidRPr="00B86D9A" w:rsidRDefault="00B86D9A" w:rsidP="00B86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1004606003224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9A" w:rsidRPr="00B86D9A" w:rsidRDefault="00B86D9A" w:rsidP="00B86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Alexei Stavilă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9A" w:rsidRPr="00B86D9A" w:rsidRDefault="00B86D9A" w:rsidP="00B86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68,8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9A" w:rsidRPr="00B86D9A" w:rsidRDefault="00B86D9A" w:rsidP="00B86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86D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Comerț  cu  amănuntul</w:t>
            </w:r>
          </w:p>
        </w:tc>
      </w:tr>
    </w:tbl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6D9A" w:rsidRPr="00B86D9A" w:rsidRDefault="00B86D9A" w:rsidP="00B86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</w:pPr>
    </w:p>
    <w:p w:rsidR="000B289E" w:rsidRDefault="000B289E">
      <w:bookmarkStart w:id="0" w:name="_GoBack"/>
      <w:bookmarkEnd w:id="0"/>
    </w:p>
    <w:sectPr w:rsidR="000B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E0DAE"/>
    <w:multiLevelType w:val="hybridMultilevel"/>
    <w:tmpl w:val="8C4A7792"/>
    <w:lvl w:ilvl="0" w:tplc="F89071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367C4"/>
    <w:multiLevelType w:val="hybridMultilevel"/>
    <w:tmpl w:val="084A5DB4"/>
    <w:lvl w:ilvl="0" w:tplc="93803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75"/>
    <w:rsid w:val="000B289E"/>
    <w:rsid w:val="00B02D75"/>
    <w:rsid w:val="00B8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3">
    <w:name w:val="Сетка таблицы3"/>
    <w:basedOn w:val="TabelNormal"/>
    <w:next w:val="GrilTabel"/>
    <w:uiPriority w:val="39"/>
    <w:rsid w:val="00B8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B8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8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6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3">
    <w:name w:val="Сетка таблицы3"/>
    <w:basedOn w:val="TabelNormal"/>
    <w:next w:val="GrilTabel"/>
    <w:uiPriority w:val="39"/>
    <w:rsid w:val="00B8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B8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8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6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1661</Words>
  <Characters>9469</Characters>
  <Application>Microsoft Office Word</Application>
  <DocSecurity>0</DocSecurity>
  <Lines>78</Lines>
  <Paragraphs>22</Paragraphs>
  <ScaleCrop>false</ScaleCrop>
  <Company>d</Company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2025-11-13T09:18:00Z</dcterms:created>
  <dcterms:modified xsi:type="dcterms:W3CDTF">2025-11-13T09:19:00Z</dcterms:modified>
</cp:coreProperties>
</file>