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70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1068"/>
        <w:gridCol w:w="4707"/>
      </w:tblGrid>
      <w:tr w14:paraId="49274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4395" w:type="dxa"/>
          </w:tcPr>
          <w:p w14:paraId="73E8F7EA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>
              <w:rPr>
                <w:b/>
                <w:lang w:val="ro-RO" w:eastAsia="en-US"/>
              </w:rPr>
              <w:t>REPUBLICA MOLDOVA</w:t>
            </w:r>
          </w:p>
          <w:p w14:paraId="4B7BC804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66B50C9B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4AB17744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15394732">
            <w:pPr>
              <w:pStyle w:val="10"/>
              <w:rPr>
                <w:sz w:val="16"/>
                <w:szCs w:val="16"/>
                <w:lang w:val="ro-RO"/>
              </w:rPr>
            </w:pPr>
          </w:p>
          <w:p w14:paraId="516CF452">
            <w:pPr>
              <w:pStyle w:val="10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MD-4813, comuna  Boșcana, raionul  Criuleni                                               </w:t>
            </w:r>
            <w:r>
              <w:rPr>
                <w:sz w:val="16"/>
                <w:szCs w:val="16"/>
                <w:lang w:val="zh-CN"/>
              </w:rPr>
              <w:t xml:space="preserve">                                                            t</w:t>
            </w:r>
            <w:r>
              <w:rPr>
                <w:sz w:val="16"/>
                <w:szCs w:val="16"/>
                <w:lang w:val="en-US"/>
              </w:rPr>
              <w:t>el/fax : +373 248 70-2-36,</w:t>
            </w:r>
            <w:r>
              <w:rPr>
                <w:rFonts w:hint="default"/>
                <w:sz w:val="16"/>
                <w:szCs w:val="16"/>
              </w:rPr>
              <w:t>e-mail:primaria.boscana@apl.gov.md</w:t>
            </w:r>
            <w:r>
              <w:rPr>
                <w:sz w:val="16"/>
                <w:szCs w:val="16"/>
                <w:lang w:val="en-US"/>
              </w:rPr>
              <w:t xml:space="preserve">                        </w:t>
            </w:r>
          </w:p>
        </w:tc>
        <w:tc>
          <w:tcPr>
            <w:tcW w:w="1068" w:type="dxa"/>
          </w:tcPr>
          <w:p w14:paraId="5BE5DF9B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CC013C7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0FC3844D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5AB72AA1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3FEB4638">
            <w:pPr>
              <w:pStyle w:val="1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КРИУЛЯНСКИЙ РАЙОН</w:t>
            </w:r>
          </w:p>
          <w:p w14:paraId="3FF1A31E">
            <w:pPr>
              <w:pStyle w:val="1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СОВЕТ КОММУНЫ</w:t>
            </w:r>
          </w:p>
          <w:p w14:paraId="340B8865">
            <w:pPr>
              <w:pStyle w:val="1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397C6402">
            <w:pPr>
              <w:pStyle w:val="10"/>
              <w:spacing w:line="276" w:lineRule="auto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 xml:space="preserve">    </w:t>
            </w:r>
          </w:p>
          <w:p w14:paraId="741567FB">
            <w:pPr>
              <w:pStyle w:val="10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 xml:space="preserve">             </w:t>
            </w:r>
            <w:r>
              <w:rPr>
                <w:sz w:val="16"/>
                <w:szCs w:val="16"/>
              </w:rPr>
              <w:t>МД – 4813, коммунна Бошкана, Криулянского района</w:t>
            </w:r>
          </w:p>
          <w:p w14:paraId="7442FE6B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en-US"/>
              </w:rPr>
              <w:t xml:space="preserve">tel/fax : +373 248 70-2-36, </w:t>
            </w:r>
            <w:r>
              <w:rPr>
                <w:rFonts w:hint="default"/>
                <w:sz w:val="16"/>
                <w:szCs w:val="16"/>
              </w:rPr>
              <w:t>e-mail:primaria.boscana@apl.gov.md</w:t>
            </w:r>
          </w:p>
        </w:tc>
      </w:tr>
    </w:tbl>
    <w:p w14:paraId="01F4F5F7">
      <w:pPr>
        <w:jc w:val="center"/>
        <w:rPr>
          <w:rFonts w:hint="default"/>
          <w:b w:val="0"/>
          <w:bCs/>
          <w:u w:val="single"/>
        </w:rPr>
      </w:pPr>
      <w:r>
        <w:rPr>
          <w:rFonts w:hint="default"/>
          <w:b w:val="0"/>
          <w:bCs/>
          <w:u w:val="single"/>
        </w:rPr>
        <w:t>PROIECT</w:t>
      </w:r>
    </w:p>
    <w:p w14:paraId="6E598C12">
      <w:pPr>
        <w:jc w:val="center"/>
        <w:rPr>
          <w:i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DECIZIA</w:t>
      </w:r>
    </w:p>
    <w:p w14:paraId="7C5F7FD4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ro-RO"/>
        </w:rPr>
        <w:t xml:space="preserve">Nr. </w:t>
      </w:r>
      <w:r>
        <w:rPr>
          <w:rFonts w:hint="default"/>
          <w:b/>
          <w:sz w:val="28"/>
          <w:szCs w:val="28"/>
        </w:rPr>
        <w:t>8/5</w:t>
      </w:r>
      <w:r>
        <w:rPr>
          <w:b/>
          <w:sz w:val="28"/>
          <w:szCs w:val="28"/>
          <w:lang w:val="es-ES"/>
        </w:rPr>
        <w:t xml:space="preserve">                                                                    </w:t>
      </w:r>
    </w:p>
    <w:p w14:paraId="1CCBB4F4">
      <w:pPr>
        <w:rPr>
          <w:b/>
          <w:sz w:val="28"/>
          <w:szCs w:val="28"/>
          <w:lang w:val="ro-RO"/>
        </w:rPr>
      </w:pPr>
      <w:r>
        <w:rPr>
          <w:rFonts w:hint="default"/>
          <w:b/>
          <w:sz w:val="28"/>
          <w:szCs w:val="28"/>
          <w:lang/>
        </w:rPr>
        <w:t>D</w:t>
      </w:r>
      <w:bookmarkStart w:id="0" w:name="_GoBack"/>
      <w:bookmarkEnd w:id="0"/>
      <w:r>
        <w:rPr>
          <w:b/>
          <w:sz w:val="28"/>
          <w:szCs w:val="28"/>
          <w:lang w:val="ro-RO"/>
        </w:rPr>
        <w:t xml:space="preserve">in </w:t>
      </w:r>
      <w:r>
        <w:rPr>
          <w:rFonts w:hint="default"/>
          <w:b/>
          <w:sz w:val="28"/>
          <w:szCs w:val="28"/>
          <w:lang/>
        </w:rPr>
        <w:t>09 octombrie</w:t>
      </w:r>
      <w:r>
        <w:rPr>
          <w:b/>
          <w:sz w:val="28"/>
          <w:szCs w:val="28"/>
          <w:lang w:val="ro-RO"/>
        </w:rPr>
        <w:t xml:space="preserve"> 202</w:t>
      </w:r>
      <w:r>
        <w:rPr>
          <w:rFonts w:hint="default"/>
          <w:b/>
          <w:sz w:val="28"/>
          <w:szCs w:val="28"/>
        </w:rPr>
        <w:t>5</w:t>
      </w:r>
    </w:p>
    <w:p w14:paraId="50D8643C">
      <w:pPr>
        <w:rPr>
          <w:b/>
          <w:i/>
          <w:sz w:val="28"/>
          <w:szCs w:val="28"/>
          <w:lang w:val="es-ES"/>
        </w:rPr>
      </w:pPr>
      <w:r>
        <w:rPr>
          <w:b/>
          <w:i/>
          <w:sz w:val="28"/>
          <w:szCs w:val="28"/>
          <w:lang w:val="es-ES"/>
        </w:rPr>
        <w:t xml:space="preserve">Cu privire la </w:t>
      </w:r>
      <w:r>
        <w:rPr>
          <w:rFonts w:hint="default"/>
          <w:b/>
          <w:i/>
          <w:sz w:val="28"/>
          <w:szCs w:val="28"/>
        </w:rPr>
        <w:t>casarea</w:t>
      </w:r>
      <w:r>
        <w:rPr>
          <w:b/>
          <w:i/>
          <w:sz w:val="28"/>
          <w:szCs w:val="28"/>
          <w:lang w:val="es-ES"/>
        </w:rPr>
        <w:t xml:space="preserve"> mijloacelor</w:t>
      </w:r>
      <w:r>
        <w:rPr>
          <w:rFonts w:hint="default"/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es-ES"/>
        </w:rPr>
        <w:t xml:space="preserve">fixe </w:t>
      </w:r>
    </w:p>
    <w:p w14:paraId="3FF59FF1">
      <w:pPr>
        <w:tabs>
          <w:tab w:val="left" w:pos="0"/>
        </w:tabs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      În temeiul art.14 (2), lit.b) al </w:t>
      </w:r>
      <w:r>
        <w:rPr>
          <w:iCs/>
          <w:sz w:val="28"/>
          <w:szCs w:val="28"/>
          <w:lang w:val="ro-RO"/>
        </w:rPr>
        <w:t>Legii privind administraţia publică locală</w:t>
      </w:r>
      <w:r>
        <w:rPr>
          <w:sz w:val="28"/>
          <w:szCs w:val="28"/>
          <w:lang w:val="ro-RO"/>
        </w:rPr>
        <w:t xml:space="preserve"> nr.436/2006, cu modificările şi completările ulterioare, </w:t>
      </w:r>
      <w:r>
        <w:rPr>
          <w:sz w:val="28"/>
          <w:szCs w:val="28"/>
          <w:lang w:val="en-US"/>
        </w:rPr>
        <w:t xml:space="preserve">în conformitate cu </w:t>
      </w:r>
      <w:r>
        <w:rPr>
          <w:rFonts w:hint="default"/>
          <w:sz w:val="28"/>
          <w:szCs w:val="28"/>
        </w:rPr>
        <w:t xml:space="preserve">prevederile </w:t>
      </w:r>
      <w:r>
        <w:rPr>
          <w:sz w:val="28"/>
          <w:szCs w:val="28"/>
          <w:lang w:val="en-US"/>
        </w:rPr>
        <w:t>art</w:t>
      </w:r>
      <w:r>
        <w:rPr>
          <w:rFonts w:hint="default"/>
          <w:sz w:val="28"/>
          <w:szCs w:val="28"/>
        </w:rPr>
        <w:t>.3, art.4, lit.a) și  lit.c) din Regulamentul privind casarea bunurilor uzate, raportate la mijloace fixe, aprobat prin Hotărârea Guvernului nr.500/1998</w:t>
      </w:r>
      <w:r>
        <w:rPr>
          <w:sz w:val="28"/>
          <w:szCs w:val="28"/>
          <w:lang w:val="en-US"/>
        </w:rPr>
        <w:t xml:space="preserve">, </w:t>
      </w:r>
    </w:p>
    <w:p w14:paraId="4DAE1371">
      <w:pPr>
        <w:tabs>
          <w:tab w:val="left" w:pos="0"/>
        </w:tabs>
        <w:ind w:firstLine="420" w:firstLineChars="150"/>
        <w:rPr>
          <w:rFonts w:hint="default"/>
          <w:sz w:val="28"/>
          <w:szCs w:val="28"/>
          <w:lang/>
        </w:rPr>
      </w:pPr>
      <w:r>
        <w:rPr>
          <w:rFonts w:hint="default"/>
          <w:sz w:val="28"/>
          <w:szCs w:val="28"/>
        </w:rPr>
        <w:t>Examinând demersul directoarei de instituție,  dna Aliona V</w:t>
      </w:r>
      <w:r>
        <w:rPr>
          <w:rFonts w:hint="default"/>
          <w:sz w:val="28"/>
          <w:szCs w:val="28"/>
          <w:lang/>
        </w:rPr>
        <w:t>î</w:t>
      </w:r>
      <w:r>
        <w:rPr>
          <w:rFonts w:hint="default"/>
          <w:sz w:val="28"/>
          <w:szCs w:val="28"/>
        </w:rPr>
        <w:t xml:space="preserve">ntu (nr.200 din 02.09.2025) procesele - verbale nr.1 și 2 din 02.07.2025, </w:t>
      </w:r>
      <w:r>
        <w:rPr>
          <w:rFonts w:hint="default"/>
          <w:sz w:val="28"/>
          <w:szCs w:val="28"/>
          <w:lang/>
        </w:rPr>
        <w:t>în conformitate cu</w:t>
      </w:r>
      <w:r>
        <w:rPr>
          <w:sz w:val="28"/>
          <w:szCs w:val="28"/>
          <w:lang w:val="ro-RO"/>
        </w:rPr>
        <w:t xml:space="preserve"> avizul pozitiv al comisiei financiare , Consiliul comunal</w:t>
      </w:r>
      <w:r>
        <w:rPr>
          <w:rFonts w:hint="default"/>
          <w:sz w:val="28"/>
          <w:szCs w:val="28"/>
          <w:lang/>
        </w:rPr>
        <w:t>,</w:t>
      </w:r>
    </w:p>
    <w:p w14:paraId="0B3C9569">
      <w:pPr>
        <w:ind w:firstLine="567"/>
        <w:jc w:val="center"/>
        <w:rPr>
          <w:b/>
          <w:iCs/>
          <w:sz w:val="28"/>
          <w:szCs w:val="28"/>
          <w:lang w:val="en-US"/>
        </w:rPr>
      </w:pPr>
    </w:p>
    <w:p w14:paraId="2A2CA51A">
      <w:pPr>
        <w:spacing w:line="240" w:lineRule="auto"/>
        <w:ind w:firstLine="567"/>
        <w:jc w:val="center"/>
        <w:rPr>
          <w:b/>
          <w:i w:val="0"/>
          <w:iCs/>
          <w:sz w:val="28"/>
          <w:szCs w:val="28"/>
        </w:rPr>
      </w:pPr>
      <w:r>
        <w:rPr>
          <w:b/>
          <w:i w:val="0"/>
          <w:iCs/>
          <w:sz w:val="28"/>
          <w:szCs w:val="28"/>
        </w:rPr>
        <w:t>DECIDE:</w:t>
      </w:r>
    </w:p>
    <w:p w14:paraId="309CE105">
      <w:pPr>
        <w:pStyle w:val="14"/>
        <w:numPr>
          <w:ilvl w:val="0"/>
          <w:numId w:val="1"/>
        </w:numPr>
        <w:spacing w:before="100" w:beforeAutospacing="1" w:line="240" w:lineRule="auto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Se </w:t>
      </w:r>
      <w:r>
        <w:rPr>
          <w:rFonts w:hint="default"/>
          <w:sz w:val="28"/>
          <w:szCs w:val="28"/>
        </w:rPr>
        <w:t>autorizează casarea mijloacelor fixe, cu uzura de peste 100%, ieșite din uz și defectate, aflate la evidența contabilă a Instituției de Educație Timpurie „Alunelul” din satul Boșcana  (conform anexei nr.1).</w:t>
      </w:r>
    </w:p>
    <w:p w14:paraId="569E53ED">
      <w:pPr>
        <w:pStyle w:val="14"/>
        <w:numPr>
          <w:ilvl w:val="0"/>
          <w:numId w:val="1"/>
        </w:numPr>
        <w:spacing w:before="100" w:beforeAutospacing="1" w:after="120" w:line="240" w:lineRule="auto"/>
        <w:jc w:val="both"/>
        <w:rPr>
          <w:sz w:val="28"/>
          <w:szCs w:val="28"/>
          <w:lang w:val="ro-RO"/>
        </w:rPr>
      </w:pPr>
      <w:r>
        <w:rPr>
          <w:rFonts w:hint="default"/>
          <w:sz w:val="28"/>
          <w:szCs w:val="28"/>
        </w:rPr>
        <w:t>Responsabilitatea pentru efectuarea modificărilor respective în evidența contabilă, conform legislației în vigoare și actului de casare se pune în sarcina contabilității.</w:t>
      </w:r>
    </w:p>
    <w:p w14:paraId="7CF2D3AC">
      <w:pPr>
        <w:pStyle w:val="14"/>
        <w:numPr>
          <w:ilvl w:val="0"/>
          <w:numId w:val="1"/>
        </w:numPr>
        <w:spacing w:before="100" w:beforeAutospacing="1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Primar</w:t>
      </w:r>
      <w:r>
        <w:rPr>
          <w:rFonts w:hint="default"/>
          <w:sz w:val="28"/>
          <w:szCs w:val="28"/>
        </w:rPr>
        <w:t>a</w:t>
      </w:r>
      <w:r>
        <w:rPr>
          <w:sz w:val="28"/>
          <w:szCs w:val="28"/>
          <w:lang w:val="en-US"/>
        </w:rPr>
        <w:t xml:space="preserve"> comunei va efectua controlul asupra executării prezentei decizii.</w:t>
      </w:r>
    </w:p>
    <w:p w14:paraId="43B045DE">
      <w:pPr>
        <w:pStyle w:val="14"/>
        <w:numPr>
          <w:ilvl w:val="0"/>
          <w:numId w:val="1"/>
        </w:numPr>
        <w:spacing w:before="100" w:beforeAutospacing="1" w:line="240" w:lineRule="auto"/>
        <w:jc w:val="both"/>
        <w:rPr>
          <w:sz w:val="28"/>
          <w:szCs w:val="28"/>
          <w:lang w:val="en-US"/>
        </w:rPr>
      </w:pPr>
      <w:r>
        <w:rPr>
          <w:color w:val="000000"/>
          <w:kern w:val="28"/>
          <w:sz w:val="28"/>
          <w:szCs w:val="28"/>
          <w:lang w:val="en-US"/>
        </w:rPr>
        <w:t>Prezenta decizie intră în vigoare la data publicării în Registrul de stat al actelor locale</w:t>
      </w:r>
      <w:r>
        <w:rPr>
          <w:rFonts w:hint="default"/>
          <w:color w:val="000000"/>
          <w:kern w:val="28"/>
          <w:sz w:val="28"/>
          <w:szCs w:val="28"/>
        </w:rPr>
        <w:t>.</w:t>
      </w:r>
    </w:p>
    <w:p w14:paraId="53DAE4FF">
      <w:pPr>
        <w:pStyle w:val="14"/>
        <w:numPr>
          <w:ilvl w:val="0"/>
          <w:numId w:val="0"/>
        </w:numPr>
        <w:spacing w:before="100" w:beforeAutospacing="1" w:after="0" w:line="240" w:lineRule="auto"/>
        <w:contextualSpacing/>
        <w:jc w:val="both"/>
        <w:rPr>
          <w:rFonts w:hint="default"/>
          <w:color w:val="000000"/>
          <w:kern w:val="28"/>
          <w:sz w:val="28"/>
          <w:szCs w:val="28"/>
        </w:rPr>
      </w:pPr>
    </w:p>
    <w:p w14:paraId="73EA76D4">
      <w:pPr>
        <w:pStyle w:val="14"/>
        <w:numPr>
          <w:ilvl w:val="0"/>
          <w:numId w:val="0"/>
        </w:numPr>
        <w:spacing w:before="100" w:beforeAutospacing="1" w:after="0" w:line="240" w:lineRule="auto"/>
        <w:contextualSpacing/>
        <w:jc w:val="both"/>
        <w:rPr>
          <w:rFonts w:hint="default"/>
          <w:color w:val="000000"/>
          <w:kern w:val="28"/>
          <w:sz w:val="28"/>
          <w:szCs w:val="28"/>
          <w:lang w:val="en-US"/>
        </w:rPr>
      </w:pPr>
    </w:p>
    <w:p w14:paraId="25D81AA3">
      <w:pPr>
        <w:tabs>
          <w:tab w:val="left" w:pos="0"/>
        </w:tabs>
        <w:jc w:val="lef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Președintele ședinței,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/>
          <w:b/>
          <w:sz w:val="28"/>
          <w:szCs w:val="28"/>
          <w:lang/>
        </w:rPr>
        <w:t>c</w:t>
      </w:r>
      <w:r>
        <w:rPr>
          <w:sz w:val="28"/>
          <w:szCs w:val="28"/>
          <w:lang w:val="ro-RO"/>
        </w:rPr>
        <w:t>ontrasemnează:</w:t>
      </w:r>
    </w:p>
    <w:p w14:paraId="0ADE5C1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Secretar</w:t>
      </w:r>
      <w:r>
        <w:rPr>
          <w:rFonts w:hint="default"/>
          <w:b/>
          <w:sz w:val="28"/>
          <w:szCs w:val="28"/>
          <w:lang/>
        </w:rPr>
        <w:t>a</w:t>
      </w:r>
      <w:r>
        <w:rPr>
          <w:b/>
          <w:sz w:val="28"/>
          <w:szCs w:val="28"/>
          <w:lang w:val="ro-RO"/>
        </w:rPr>
        <w:t xml:space="preserve">  consiliului,                                        Petrașcu Aliona          </w:t>
      </w:r>
    </w:p>
    <w:p w14:paraId="2910DD22">
      <w:pPr>
        <w:tabs>
          <w:tab w:val="left" w:pos="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Consilieri aleși – 13</w:t>
      </w:r>
    </w:p>
    <w:p w14:paraId="291A2EE0">
      <w:pPr>
        <w:spacing w:line="276" w:lineRule="auto"/>
        <w:rPr>
          <w:b/>
          <w:kern w:val="1"/>
          <w:sz w:val="28"/>
          <w:szCs w:val="28"/>
          <w:lang w:val="en-US" w:eastAsia="ar-SA"/>
        </w:rPr>
      </w:pPr>
      <w:r>
        <w:rPr>
          <w:sz w:val="28"/>
          <w:szCs w:val="28"/>
          <w:lang w:val="en-US"/>
        </w:rPr>
        <w:t xml:space="preserve">Consilieri prezenți: </w:t>
      </w:r>
      <w:r>
        <w:rPr>
          <w:rFonts w:hint="default"/>
          <w:sz w:val="28"/>
          <w:szCs w:val="28"/>
        </w:rPr>
        <w:t xml:space="preserve">           </w:t>
      </w:r>
      <w:r>
        <w:rPr>
          <w:bCs/>
          <w:sz w:val="28"/>
          <w:szCs w:val="28"/>
          <w:lang w:val="ro-RO"/>
        </w:rPr>
        <w:t xml:space="preserve">Au votat: </w:t>
      </w:r>
      <w:r>
        <w:rPr>
          <w:b w:val="0"/>
          <w:bCs/>
          <w:i w:val="0"/>
          <w:iCs w:val="0"/>
          <w:sz w:val="28"/>
          <w:szCs w:val="28"/>
          <w:lang w:val="ro-RO"/>
        </w:rPr>
        <w:t xml:space="preserve">  pentru  -  ,   contra - ,    s-au abținut   - </w:t>
      </w:r>
    </w:p>
    <w:p w14:paraId="126463DA">
      <w:pPr>
        <w:jc w:val="right"/>
        <w:rPr>
          <w:b w:val="0"/>
          <w:bCs/>
          <w:kern w:val="1"/>
          <w:sz w:val="20"/>
          <w:szCs w:val="20"/>
          <w:lang w:val="en-US" w:eastAsia="ar-SA"/>
        </w:rPr>
      </w:pPr>
      <w:r>
        <w:rPr>
          <w:b w:val="0"/>
          <w:bCs/>
          <w:kern w:val="1"/>
          <w:sz w:val="20"/>
          <w:szCs w:val="20"/>
          <w:lang w:val="en-US" w:eastAsia="ar-SA"/>
        </w:rPr>
        <w:t xml:space="preserve"> </w:t>
      </w:r>
    </w:p>
    <w:p w14:paraId="3FAC61D4">
      <w:pPr>
        <w:jc w:val="right"/>
        <w:rPr>
          <w:b w:val="0"/>
          <w:bCs/>
          <w:kern w:val="1"/>
          <w:sz w:val="20"/>
          <w:szCs w:val="20"/>
          <w:lang w:val="en-US" w:eastAsia="ar-SA"/>
        </w:rPr>
      </w:pPr>
    </w:p>
    <w:p w14:paraId="398093AC">
      <w:pPr>
        <w:jc w:val="right"/>
        <w:rPr>
          <w:b w:val="0"/>
          <w:bCs/>
          <w:kern w:val="1"/>
          <w:sz w:val="20"/>
          <w:szCs w:val="20"/>
          <w:lang w:val="en-US" w:eastAsia="ar-SA"/>
        </w:rPr>
      </w:pPr>
    </w:p>
    <w:p w14:paraId="106D8BE1">
      <w:pPr>
        <w:jc w:val="right"/>
        <w:rPr>
          <w:b w:val="0"/>
          <w:bCs/>
          <w:kern w:val="1"/>
          <w:sz w:val="20"/>
          <w:szCs w:val="20"/>
          <w:lang w:val="en-US" w:eastAsia="ar-SA"/>
        </w:rPr>
      </w:pPr>
    </w:p>
    <w:p w14:paraId="43468F42">
      <w:pPr>
        <w:jc w:val="right"/>
        <w:rPr>
          <w:b w:val="0"/>
          <w:bCs/>
          <w:kern w:val="1"/>
          <w:sz w:val="20"/>
          <w:szCs w:val="20"/>
          <w:lang w:val="en-US" w:eastAsia="ar-SA"/>
        </w:rPr>
      </w:pPr>
    </w:p>
    <w:p w14:paraId="3BF3808A">
      <w:pPr>
        <w:jc w:val="right"/>
        <w:rPr>
          <w:b w:val="0"/>
          <w:bCs/>
          <w:kern w:val="1"/>
          <w:sz w:val="20"/>
          <w:szCs w:val="20"/>
          <w:lang w:val="en-US" w:eastAsia="ar-SA"/>
        </w:rPr>
      </w:pPr>
    </w:p>
    <w:p w14:paraId="036D1E65">
      <w:pPr>
        <w:jc w:val="right"/>
        <w:rPr>
          <w:b w:val="0"/>
          <w:bCs/>
          <w:kern w:val="1"/>
          <w:sz w:val="20"/>
          <w:szCs w:val="20"/>
          <w:lang w:val="en-US" w:eastAsia="ar-SA"/>
        </w:rPr>
      </w:pPr>
    </w:p>
    <w:p w14:paraId="4A73875C">
      <w:pPr>
        <w:jc w:val="right"/>
        <w:rPr>
          <w:b w:val="0"/>
          <w:bCs/>
          <w:kern w:val="1"/>
          <w:sz w:val="20"/>
          <w:szCs w:val="20"/>
          <w:lang w:val="en-US" w:eastAsia="ar-SA"/>
        </w:rPr>
      </w:pPr>
    </w:p>
    <w:p w14:paraId="4A36ED11">
      <w:pPr>
        <w:jc w:val="right"/>
        <w:rPr>
          <w:b w:val="0"/>
          <w:bCs/>
          <w:kern w:val="1"/>
          <w:sz w:val="20"/>
          <w:szCs w:val="20"/>
          <w:lang w:val="en-US" w:eastAsia="ar-SA"/>
        </w:rPr>
      </w:pPr>
    </w:p>
    <w:p w14:paraId="22EE6A86">
      <w:pPr>
        <w:jc w:val="right"/>
        <w:rPr>
          <w:b w:val="0"/>
          <w:bCs/>
          <w:kern w:val="1"/>
          <w:sz w:val="20"/>
          <w:szCs w:val="20"/>
          <w:lang w:val="en-US" w:eastAsia="ar-SA"/>
        </w:rPr>
      </w:pPr>
    </w:p>
    <w:p w14:paraId="5B0FA1AD">
      <w:pPr>
        <w:jc w:val="right"/>
        <w:rPr>
          <w:b w:val="0"/>
          <w:bCs/>
          <w:kern w:val="1"/>
          <w:sz w:val="20"/>
          <w:szCs w:val="20"/>
          <w:lang w:val="en-US" w:eastAsia="ar-SA"/>
        </w:rPr>
      </w:pPr>
    </w:p>
    <w:p w14:paraId="27E340A7">
      <w:pPr>
        <w:jc w:val="right"/>
        <w:rPr>
          <w:b w:val="0"/>
          <w:bCs/>
          <w:kern w:val="1"/>
          <w:sz w:val="20"/>
          <w:szCs w:val="20"/>
          <w:lang w:val="en-US" w:eastAsia="ar-SA"/>
        </w:rPr>
      </w:pPr>
    </w:p>
    <w:p w14:paraId="0E6A1E1D">
      <w:pPr>
        <w:jc w:val="right"/>
        <w:rPr>
          <w:b w:val="0"/>
          <w:bCs/>
          <w:kern w:val="1"/>
          <w:sz w:val="20"/>
          <w:szCs w:val="20"/>
          <w:lang w:val="en-US" w:eastAsia="ar-SA"/>
        </w:rPr>
      </w:pPr>
    </w:p>
    <w:p w14:paraId="56F7A09F">
      <w:pPr>
        <w:jc w:val="both"/>
        <w:rPr>
          <w:b w:val="0"/>
          <w:bCs/>
          <w:kern w:val="1"/>
          <w:sz w:val="20"/>
          <w:szCs w:val="20"/>
          <w:lang w:val="en-US" w:eastAsia="ar-SA"/>
        </w:rPr>
      </w:pPr>
    </w:p>
    <w:p w14:paraId="6418004B">
      <w:pPr>
        <w:jc w:val="right"/>
        <w:rPr>
          <w:rFonts w:hint="default"/>
          <w:b w:val="0"/>
          <w:bCs/>
          <w:kern w:val="1"/>
          <w:sz w:val="20"/>
          <w:szCs w:val="20"/>
          <w:lang w:eastAsia="ar-SA"/>
        </w:rPr>
      </w:pPr>
      <w:r>
        <w:rPr>
          <w:rFonts w:hint="default"/>
          <w:b w:val="0"/>
          <w:bCs/>
          <w:kern w:val="1"/>
          <w:sz w:val="20"/>
          <w:szCs w:val="20"/>
          <w:lang w:eastAsia="ar-SA"/>
        </w:rPr>
        <w:t>Anexa nr.1</w:t>
      </w:r>
    </w:p>
    <w:p w14:paraId="34F83564">
      <w:pPr>
        <w:jc w:val="right"/>
        <w:rPr>
          <w:b w:val="0"/>
          <w:bCs/>
          <w:i w:val="0"/>
          <w:iCs/>
          <w:sz w:val="20"/>
          <w:szCs w:val="20"/>
          <w:lang w:val="es-ES"/>
        </w:rPr>
      </w:pPr>
      <w:r>
        <w:rPr>
          <w:rFonts w:hint="default"/>
          <w:b w:val="0"/>
          <w:bCs/>
          <w:kern w:val="1"/>
          <w:sz w:val="20"/>
          <w:szCs w:val="20"/>
          <w:lang w:eastAsia="ar-SA"/>
        </w:rPr>
        <w:t xml:space="preserve"> la Decizia nr.8.5</w:t>
      </w:r>
      <w:r>
        <w:rPr>
          <w:rFonts w:hint="default"/>
          <w:b w:val="0"/>
          <w:bCs/>
          <w:kern w:val="1"/>
          <w:sz w:val="20"/>
          <w:szCs w:val="20"/>
          <w:lang w:eastAsia="ar-SA"/>
        </w:rPr>
        <w:t xml:space="preserve"> din 09.10.2025</w:t>
      </w:r>
      <w:r>
        <w:rPr>
          <w:rFonts w:hint="default"/>
          <w:b w:val="0"/>
          <w:bCs/>
          <w:kern w:val="1"/>
          <w:sz w:val="20"/>
          <w:szCs w:val="20"/>
          <w:lang w:eastAsia="ar-SA"/>
        </w:rPr>
        <w:t xml:space="preserve"> „Cu privire la casarea mijloacelor fixe</w:t>
      </w:r>
      <w:r>
        <w:rPr>
          <w:b w:val="0"/>
          <w:bCs/>
          <w:i w:val="0"/>
          <w:iCs/>
          <w:sz w:val="20"/>
          <w:szCs w:val="20"/>
          <w:lang w:val="es-ES"/>
        </w:rPr>
        <w:t>”</w:t>
      </w:r>
    </w:p>
    <w:p w14:paraId="35936ACE">
      <w:pPr>
        <w:tabs>
          <w:tab w:val="left" w:pos="0"/>
        </w:tabs>
        <w:suppressAutoHyphens/>
        <w:wordWrap w:val="0"/>
        <w:ind w:left="180"/>
        <w:jc w:val="right"/>
        <w:rPr>
          <w:rFonts w:hint="default"/>
          <w:sz w:val="28"/>
          <w:szCs w:val="28"/>
        </w:rPr>
      </w:pPr>
    </w:p>
    <w:tbl>
      <w:tblPr>
        <w:tblStyle w:val="8"/>
        <w:tblpPr w:leftFromText="180" w:rightFromText="180" w:vertAnchor="text" w:horzAnchor="page" w:tblpX="1612" w:tblpY="381"/>
        <w:tblOverlap w:val="never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536"/>
        <w:gridCol w:w="1247"/>
        <w:gridCol w:w="1370"/>
        <w:gridCol w:w="1402"/>
        <w:gridCol w:w="2417"/>
      </w:tblGrid>
      <w:tr w14:paraId="4D21A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63" w:type="pct"/>
          </w:tcPr>
          <w:p w14:paraId="5B810978">
            <w:pPr>
              <w:pStyle w:val="14"/>
              <w:ind w:left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es-ES"/>
              </w:rPr>
              <w:t>Nr. d/o</w:t>
            </w:r>
          </w:p>
        </w:tc>
        <w:tc>
          <w:tcPr>
            <w:tcW w:w="1310" w:type="pct"/>
          </w:tcPr>
          <w:p w14:paraId="609D936B">
            <w:pPr>
              <w:pStyle w:val="14"/>
              <w:ind w:left="0"/>
              <w:jc w:val="center"/>
              <w:rPr>
                <w:rFonts w:hint="default"/>
                <w:b/>
                <w:bCs/>
                <w:sz w:val="28"/>
                <w:szCs w:val="28"/>
              </w:rPr>
            </w:pPr>
            <w:r>
              <w:rPr>
                <w:rFonts w:hint="default"/>
                <w:b/>
                <w:bCs/>
                <w:i/>
                <w:vertAlign w:val="baseline"/>
              </w:rPr>
              <w:t>Denumirea mijloacelor fixe</w:t>
            </w:r>
          </w:p>
        </w:tc>
        <w:tc>
          <w:tcPr>
            <w:tcW w:w="644" w:type="pct"/>
            <w:vAlign w:val="top"/>
          </w:tcPr>
          <w:p w14:paraId="79697349">
            <w:pPr>
              <w:wordWrap/>
              <w:jc w:val="left"/>
              <w:rPr>
                <w:rFonts w:hint="default"/>
                <w:b/>
                <w:bCs/>
                <w:sz w:val="28"/>
                <w:szCs w:val="28"/>
              </w:rPr>
            </w:pPr>
            <w:r>
              <w:rPr>
                <w:rFonts w:hint="default"/>
                <w:b/>
                <w:bCs/>
                <w:i/>
                <w:vertAlign w:val="baseline"/>
              </w:rPr>
              <w:t>Unitatea de măsură</w:t>
            </w:r>
          </w:p>
        </w:tc>
        <w:tc>
          <w:tcPr>
            <w:tcW w:w="707" w:type="pct"/>
            <w:vAlign w:val="top"/>
          </w:tcPr>
          <w:p w14:paraId="48A67CF2">
            <w:pPr>
              <w:wordWrap/>
              <w:jc w:val="left"/>
              <w:rPr>
                <w:rFonts w:hint="default"/>
                <w:b/>
                <w:bCs/>
                <w:sz w:val="28"/>
                <w:szCs w:val="28"/>
              </w:rPr>
            </w:pPr>
            <w:r>
              <w:rPr>
                <w:rFonts w:hint="default"/>
                <w:b/>
                <w:bCs/>
                <w:i/>
                <w:vertAlign w:val="baseline"/>
              </w:rPr>
              <w:t xml:space="preserve">Cantitatea </w:t>
            </w:r>
          </w:p>
        </w:tc>
        <w:tc>
          <w:tcPr>
            <w:tcW w:w="724" w:type="pct"/>
          </w:tcPr>
          <w:p w14:paraId="1D330AA8">
            <w:pPr>
              <w:pStyle w:val="14"/>
              <w:ind w:left="0"/>
              <w:jc w:val="center"/>
              <w:rPr>
                <w:rFonts w:hint="defaul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/>
                <w:b/>
                <w:bCs/>
                <w:i/>
                <w:iCs/>
                <w:sz w:val="24"/>
                <w:szCs w:val="24"/>
              </w:rPr>
              <w:t>Preț, lei</w:t>
            </w:r>
          </w:p>
        </w:tc>
        <w:tc>
          <w:tcPr>
            <w:tcW w:w="1248" w:type="pct"/>
          </w:tcPr>
          <w:p w14:paraId="1ADD4C33">
            <w:pPr>
              <w:pStyle w:val="14"/>
              <w:ind w:left="0"/>
              <w:jc w:val="center"/>
              <w:rPr>
                <w:b/>
                <w:bCs/>
                <w:i/>
                <w:iCs/>
                <w:sz w:val="24"/>
                <w:szCs w:val="24"/>
                <w:lang w:val="es-ES"/>
              </w:rPr>
            </w:pPr>
            <w:r>
              <w:rPr>
                <w:rFonts w:hint="default"/>
                <w:b/>
                <w:bCs/>
                <w:i/>
                <w:iCs/>
                <w:sz w:val="24"/>
                <w:szCs w:val="24"/>
              </w:rPr>
              <w:t xml:space="preserve">Suma, </w:t>
            </w:r>
            <w:r>
              <w:rPr>
                <w:b/>
                <w:bCs/>
                <w:i/>
                <w:iCs/>
                <w:sz w:val="24"/>
                <w:szCs w:val="24"/>
                <w:lang w:val="es-ES"/>
              </w:rPr>
              <w:t>lei</w:t>
            </w:r>
          </w:p>
        </w:tc>
      </w:tr>
      <w:tr w14:paraId="18D14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63" w:type="pct"/>
          </w:tcPr>
          <w:p w14:paraId="568E452F">
            <w:pPr>
              <w:pStyle w:val="14"/>
              <w:numPr>
                <w:ilvl w:val="0"/>
                <w:numId w:val="2"/>
              </w:numPr>
              <w:spacing w:before="100" w:beforeAutospacing="1"/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310" w:type="pct"/>
          </w:tcPr>
          <w:p w14:paraId="2F580E7F">
            <w:pPr>
              <w:pStyle w:val="14"/>
              <w:ind w:left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Bucătărie</w:t>
            </w:r>
          </w:p>
          <w:p w14:paraId="401D5389">
            <w:pPr>
              <w:pStyle w:val="14"/>
              <w:ind w:left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pct"/>
          </w:tcPr>
          <w:p w14:paraId="1FB7002D">
            <w:pPr>
              <w:ind w:left="0"/>
              <w:jc w:val="center"/>
              <w:rPr>
                <w:rFonts w:hint="default"/>
                <w:i w:val="0"/>
                <w:iCs/>
                <w:sz w:val="24"/>
                <w:szCs w:val="24"/>
              </w:rPr>
            </w:pPr>
            <w:r>
              <w:rPr>
                <w:rFonts w:hint="default"/>
                <w:i w:val="0"/>
                <w:iCs/>
                <w:vertAlign w:val="baseline"/>
              </w:rPr>
              <w:t>buc.</w:t>
            </w:r>
          </w:p>
        </w:tc>
        <w:tc>
          <w:tcPr>
            <w:tcW w:w="707" w:type="pct"/>
          </w:tcPr>
          <w:p w14:paraId="4E796229">
            <w:pPr>
              <w:pStyle w:val="14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</w:t>
            </w:r>
          </w:p>
        </w:tc>
        <w:tc>
          <w:tcPr>
            <w:tcW w:w="724" w:type="pct"/>
          </w:tcPr>
          <w:p w14:paraId="6F82AC03">
            <w:pPr>
              <w:pStyle w:val="14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30350,0</w:t>
            </w:r>
          </w:p>
        </w:tc>
        <w:tc>
          <w:tcPr>
            <w:tcW w:w="1248" w:type="pct"/>
            <w:vAlign w:val="top"/>
          </w:tcPr>
          <w:p w14:paraId="4863E9D6">
            <w:pPr>
              <w:pStyle w:val="14"/>
              <w:ind w:left="0" w:leftChars="0"/>
              <w:jc w:val="left"/>
              <w:rPr>
                <w:sz w:val="24"/>
                <w:szCs w:val="24"/>
                <w:lang w:val="es-ES"/>
              </w:rPr>
            </w:pPr>
            <w:r>
              <w:rPr>
                <w:rFonts w:hint="default"/>
                <w:sz w:val="24"/>
                <w:szCs w:val="24"/>
              </w:rPr>
              <w:t>30350,0</w:t>
            </w:r>
          </w:p>
        </w:tc>
      </w:tr>
      <w:tr w14:paraId="5CE2B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63" w:type="pct"/>
          </w:tcPr>
          <w:p w14:paraId="55303B14">
            <w:pPr>
              <w:pStyle w:val="14"/>
              <w:numPr>
                <w:ilvl w:val="0"/>
                <w:numId w:val="2"/>
              </w:numPr>
              <w:spacing w:before="100" w:beforeAutospacing="1"/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310" w:type="pct"/>
          </w:tcPr>
          <w:p w14:paraId="602A47C8">
            <w:pPr>
              <w:pStyle w:val="14"/>
              <w:ind w:left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Echipament pe arc elicodat cu figuri</w:t>
            </w:r>
          </w:p>
          <w:p w14:paraId="6A3BCC54">
            <w:pPr>
              <w:pStyle w:val="14"/>
              <w:ind w:left="0"/>
              <w:rPr>
                <w:rFonts w:hint="default"/>
                <w:sz w:val="24"/>
                <w:szCs w:val="24"/>
              </w:rPr>
            </w:pPr>
          </w:p>
          <w:p w14:paraId="73D599F2">
            <w:pPr>
              <w:pStyle w:val="14"/>
              <w:ind w:left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pct"/>
            <w:shd w:val="clear" w:color="auto" w:fill="auto"/>
            <w:vAlign w:val="top"/>
          </w:tcPr>
          <w:p w14:paraId="52277BBF">
            <w:pPr>
              <w:ind w:left="0" w:leftChars="0"/>
              <w:jc w:val="center"/>
              <w:rPr>
                <w:rFonts w:hint="default" w:cs="Times New Roman"/>
                <w:i w:val="0"/>
                <w:iCs/>
                <w:sz w:val="24"/>
                <w:szCs w:val="24"/>
                <w:lang w:eastAsia="ru-RU" w:bidi="ar-SA"/>
              </w:rPr>
            </w:pPr>
            <w:r>
              <w:rPr>
                <w:rFonts w:hint="default"/>
                <w:i w:val="0"/>
                <w:iCs/>
                <w:vertAlign w:val="baseline"/>
              </w:rPr>
              <w:t>buc.</w:t>
            </w:r>
          </w:p>
        </w:tc>
        <w:tc>
          <w:tcPr>
            <w:tcW w:w="707" w:type="pct"/>
            <w:shd w:val="clear" w:color="auto" w:fill="auto"/>
            <w:vAlign w:val="top"/>
          </w:tcPr>
          <w:p w14:paraId="6A61BE75">
            <w:pPr>
              <w:pStyle w:val="14"/>
              <w:ind w:left="0" w:left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eastAsia="ru-RU" w:bidi="ar-SA"/>
              </w:rPr>
              <w:t>2</w:t>
            </w:r>
          </w:p>
        </w:tc>
        <w:tc>
          <w:tcPr>
            <w:tcW w:w="724" w:type="pct"/>
          </w:tcPr>
          <w:p w14:paraId="4783D980">
            <w:pPr>
              <w:pStyle w:val="14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5601,00</w:t>
            </w:r>
          </w:p>
        </w:tc>
        <w:tc>
          <w:tcPr>
            <w:tcW w:w="1248" w:type="pct"/>
            <w:vAlign w:val="top"/>
          </w:tcPr>
          <w:p w14:paraId="7DB2D39B">
            <w:pPr>
              <w:pStyle w:val="14"/>
              <w:ind w:left="0" w:leftChars="0"/>
              <w:jc w:val="left"/>
              <w:rPr>
                <w:sz w:val="24"/>
                <w:szCs w:val="24"/>
                <w:lang w:val="es-ES"/>
              </w:rPr>
            </w:pPr>
            <w:r>
              <w:rPr>
                <w:rFonts w:hint="default"/>
                <w:sz w:val="24"/>
                <w:szCs w:val="24"/>
              </w:rPr>
              <w:t>5601,00</w:t>
            </w:r>
          </w:p>
        </w:tc>
      </w:tr>
      <w:tr w14:paraId="0E953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63" w:type="pct"/>
          </w:tcPr>
          <w:p w14:paraId="4BB4621D">
            <w:pPr>
              <w:pStyle w:val="14"/>
              <w:numPr>
                <w:ilvl w:val="0"/>
                <w:numId w:val="2"/>
              </w:numPr>
              <w:spacing w:before="100" w:beforeAutospacing="1"/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310" w:type="pct"/>
          </w:tcPr>
          <w:p w14:paraId="52FA737B">
            <w:pPr>
              <w:pStyle w:val="14"/>
              <w:ind w:left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Figurină pe arc cu balansare inclus</w:t>
            </w:r>
          </w:p>
        </w:tc>
        <w:tc>
          <w:tcPr>
            <w:tcW w:w="644" w:type="pct"/>
            <w:shd w:val="clear" w:color="auto" w:fill="auto"/>
            <w:vAlign w:val="top"/>
          </w:tcPr>
          <w:p w14:paraId="5D2FFF95">
            <w:pPr>
              <w:ind w:left="0" w:leftChars="0"/>
              <w:jc w:val="center"/>
              <w:rPr>
                <w:rFonts w:hint="default" w:cs="Times New Roman"/>
                <w:i w:val="0"/>
                <w:iCs/>
                <w:sz w:val="24"/>
                <w:szCs w:val="24"/>
                <w:lang w:eastAsia="ru-RU" w:bidi="ar-SA"/>
              </w:rPr>
            </w:pPr>
            <w:r>
              <w:rPr>
                <w:rFonts w:hint="default"/>
                <w:i w:val="0"/>
                <w:iCs/>
                <w:vertAlign w:val="baseline"/>
              </w:rPr>
              <w:t>buc.</w:t>
            </w:r>
          </w:p>
        </w:tc>
        <w:tc>
          <w:tcPr>
            <w:tcW w:w="707" w:type="pct"/>
            <w:shd w:val="clear" w:color="auto" w:fill="auto"/>
            <w:vAlign w:val="top"/>
          </w:tcPr>
          <w:p w14:paraId="2F2CBFC8">
            <w:pPr>
              <w:pStyle w:val="14"/>
              <w:ind w:left="0" w:left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eastAsia="ru-RU" w:bidi="ar-SA"/>
              </w:rPr>
              <w:t>2</w:t>
            </w:r>
          </w:p>
        </w:tc>
        <w:tc>
          <w:tcPr>
            <w:tcW w:w="724" w:type="pct"/>
          </w:tcPr>
          <w:p w14:paraId="10D7152C">
            <w:pPr>
              <w:pStyle w:val="14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5373,00</w:t>
            </w:r>
          </w:p>
        </w:tc>
        <w:tc>
          <w:tcPr>
            <w:tcW w:w="1248" w:type="pct"/>
            <w:vAlign w:val="top"/>
          </w:tcPr>
          <w:p w14:paraId="1B19E020">
            <w:pPr>
              <w:pStyle w:val="14"/>
              <w:ind w:left="0" w:leftChars="0"/>
              <w:jc w:val="left"/>
              <w:rPr>
                <w:sz w:val="24"/>
                <w:szCs w:val="24"/>
                <w:lang w:val="es-ES"/>
              </w:rPr>
            </w:pPr>
            <w:r>
              <w:rPr>
                <w:rFonts w:hint="default"/>
                <w:sz w:val="24"/>
                <w:szCs w:val="24"/>
              </w:rPr>
              <w:t>5373,00</w:t>
            </w:r>
          </w:p>
        </w:tc>
      </w:tr>
      <w:tr w14:paraId="304ED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63" w:type="pct"/>
          </w:tcPr>
          <w:p w14:paraId="51C71EC7">
            <w:pPr>
              <w:pStyle w:val="14"/>
              <w:numPr>
                <w:ilvl w:val="0"/>
                <w:numId w:val="2"/>
              </w:numPr>
              <w:spacing w:before="100" w:beforeAutospacing="1"/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310" w:type="pct"/>
          </w:tcPr>
          <w:p w14:paraId="397EA57E">
            <w:pPr>
              <w:pStyle w:val="14"/>
              <w:ind w:left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Complex de joacă cu un topogan</w:t>
            </w:r>
          </w:p>
          <w:p w14:paraId="1131BEF0">
            <w:pPr>
              <w:pStyle w:val="14"/>
              <w:ind w:left="0"/>
              <w:rPr>
                <w:rFonts w:hint="default"/>
                <w:sz w:val="24"/>
                <w:szCs w:val="24"/>
              </w:rPr>
            </w:pPr>
          </w:p>
          <w:p w14:paraId="2358BF2F">
            <w:pPr>
              <w:pStyle w:val="14"/>
              <w:ind w:left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pct"/>
          </w:tcPr>
          <w:p w14:paraId="333C8578">
            <w:pPr>
              <w:ind w:left="0"/>
              <w:jc w:val="center"/>
              <w:rPr>
                <w:rFonts w:hint="default"/>
                <w:i w:val="0"/>
                <w:iCs/>
                <w:sz w:val="24"/>
                <w:szCs w:val="24"/>
              </w:rPr>
            </w:pPr>
            <w:r>
              <w:rPr>
                <w:rFonts w:hint="default"/>
                <w:i w:val="0"/>
                <w:iCs/>
                <w:vertAlign w:val="baseline"/>
              </w:rPr>
              <w:t>buc.</w:t>
            </w:r>
          </w:p>
        </w:tc>
        <w:tc>
          <w:tcPr>
            <w:tcW w:w="707" w:type="pct"/>
          </w:tcPr>
          <w:p w14:paraId="5BE8DB0B">
            <w:pPr>
              <w:pStyle w:val="14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</w:t>
            </w:r>
          </w:p>
        </w:tc>
        <w:tc>
          <w:tcPr>
            <w:tcW w:w="724" w:type="pct"/>
          </w:tcPr>
          <w:p w14:paraId="6E43DE71">
            <w:pPr>
              <w:pStyle w:val="14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27150,00</w:t>
            </w:r>
          </w:p>
        </w:tc>
        <w:tc>
          <w:tcPr>
            <w:tcW w:w="1248" w:type="pct"/>
            <w:vAlign w:val="top"/>
          </w:tcPr>
          <w:p w14:paraId="37D0827A">
            <w:pPr>
              <w:pStyle w:val="14"/>
              <w:ind w:left="0" w:leftChars="0"/>
              <w:jc w:val="left"/>
              <w:rPr>
                <w:sz w:val="24"/>
                <w:szCs w:val="24"/>
                <w:lang w:val="es-ES"/>
              </w:rPr>
            </w:pPr>
            <w:r>
              <w:rPr>
                <w:rFonts w:hint="default"/>
                <w:sz w:val="24"/>
                <w:szCs w:val="24"/>
              </w:rPr>
              <w:t>27150,00</w:t>
            </w:r>
          </w:p>
        </w:tc>
      </w:tr>
      <w:tr w14:paraId="6D588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63" w:type="pct"/>
          </w:tcPr>
          <w:p w14:paraId="11225FA0">
            <w:pPr>
              <w:pStyle w:val="14"/>
              <w:numPr>
                <w:ilvl w:val="0"/>
                <w:numId w:val="0"/>
              </w:numPr>
              <w:spacing w:before="100" w:beforeAutospacing="1"/>
              <w:ind w:leftChars="0"/>
              <w:jc w:val="both"/>
              <w:rPr>
                <w:sz w:val="24"/>
                <w:szCs w:val="24"/>
                <w:lang w:val="es-ES"/>
              </w:rPr>
            </w:pPr>
          </w:p>
          <w:p w14:paraId="4B9BB31B">
            <w:pPr>
              <w:pStyle w:val="14"/>
              <w:numPr>
                <w:ilvl w:val="0"/>
                <w:numId w:val="0"/>
              </w:numPr>
              <w:spacing w:before="100" w:beforeAutospacing="1"/>
              <w:ind w:leftChars="0"/>
              <w:jc w:val="both"/>
              <w:rPr>
                <w:sz w:val="24"/>
                <w:szCs w:val="24"/>
                <w:lang w:val="es-ES"/>
              </w:rPr>
            </w:pPr>
          </w:p>
          <w:p w14:paraId="13792CC7">
            <w:pPr>
              <w:pStyle w:val="14"/>
              <w:numPr>
                <w:ilvl w:val="0"/>
                <w:numId w:val="0"/>
              </w:numPr>
              <w:spacing w:before="100" w:beforeAutospacing="1"/>
              <w:ind w:leftChars="0"/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1310" w:type="pct"/>
          </w:tcPr>
          <w:p w14:paraId="7482A7A5">
            <w:pPr>
              <w:pStyle w:val="14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TOTAL</w:t>
            </w:r>
          </w:p>
        </w:tc>
        <w:tc>
          <w:tcPr>
            <w:tcW w:w="644" w:type="pct"/>
          </w:tcPr>
          <w:p w14:paraId="70FD44DC">
            <w:pPr>
              <w:ind w:left="0"/>
              <w:jc w:val="center"/>
              <w:rPr>
                <w:rFonts w:hint="default"/>
                <w:i w:val="0"/>
                <w:iCs/>
                <w:vertAlign w:val="baseline"/>
              </w:rPr>
            </w:pPr>
            <w:r>
              <w:rPr>
                <w:rFonts w:hint="default"/>
                <w:i w:val="0"/>
                <w:iCs/>
                <w:vertAlign w:val="baseline"/>
              </w:rPr>
              <w:t>--</w:t>
            </w:r>
          </w:p>
        </w:tc>
        <w:tc>
          <w:tcPr>
            <w:tcW w:w="707" w:type="pct"/>
          </w:tcPr>
          <w:p w14:paraId="4F050F9B">
            <w:pPr>
              <w:pStyle w:val="14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--</w:t>
            </w:r>
          </w:p>
        </w:tc>
        <w:tc>
          <w:tcPr>
            <w:tcW w:w="724" w:type="pct"/>
          </w:tcPr>
          <w:p w14:paraId="0C2CB93D">
            <w:pPr>
              <w:pStyle w:val="14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--</w:t>
            </w:r>
          </w:p>
        </w:tc>
        <w:tc>
          <w:tcPr>
            <w:tcW w:w="1248" w:type="pct"/>
          </w:tcPr>
          <w:p w14:paraId="149377B0">
            <w:pPr>
              <w:pStyle w:val="14"/>
              <w:ind w:left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79448,00</w:t>
            </w:r>
          </w:p>
        </w:tc>
      </w:tr>
    </w:tbl>
    <w:p w14:paraId="7C73C2BF">
      <w:pPr>
        <w:tabs>
          <w:tab w:val="left" w:pos="0"/>
        </w:tabs>
        <w:suppressAutoHyphens/>
        <w:ind w:left="180"/>
        <w:jc w:val="center"/>
        <w:rPr>
          <w:sz w:val="24"/>
          <w:szCs w:val="24"/>
          <w:lang w:val="ro-RO"/>
        </w:rPr>
      </w:pPr>
    </w:p>
    <w:p w14:paraId="3BA2D20A">
      <w:pPr>
        <w:jc w:val="right"/>
        <w:rPr>
          <w:i/>
          <w:sz w:val="24"/>
          <w:szCs w:val="24"/>
          <w:lang w:val="ro-RO"/>
        </w:rPr>
      </w:pPr>
    </w:p>
    <w:p w14:paraId="62AA58D4">
      <w:pPr>
        <w:jc w:val="right"/>
        <w:rPr>
          <w:b w:val="0"/>
          <w:bCs/>
          <w:kern w:val="1"/>
          <w:sz w:val="20"/>
          <w:szCs w:val="20"/>
          <w:lang w:val="en-US" w:eastAsia="ar-SA"/>
        </w:rPr>
      </w:pPr>
    </w:p>
    <w:p w14:paraId="7DDE6E6F">
      <w:pPr>
        <w:jc w:val="right"/>
        <w:rPr>
          <w:i/>
          <w:lang w:val="es-ES"/>
        </w:rPr>
      </w:pPr>
      <w:r>
        <w:rPr>
          <w:b w:val="0"/>
          <w:bCs/>
          <w:kern w:val="1"/>
          <w:sz w:val="20"/>
          <w:szCs w:val="20"/>
          <w:lang w:val="en-US" w:eastAsia="ar-SA"/>
        </w:rPr>
        <w:t xml:space="preserve"> </w:t>
      </w:r>
    </w:p>
    <w:p w14:paraId="593F9B5F">
      <w:pPr>
        <w:wordWrap/>
        <w:jc w:val="center"/>
        <w:rPr>
          <w:rFonts w:hint="default"/>
          <w:i w:val="0"/>
          <w:iCs/>
        </w:rPr>
      </w:pPr>
      <w:r>
        <w:rPr>
          <w:rFonts w:hint="default"/>
          <w:i w:val="0"/>
          <w:iCs/>
        </w:rPr>
        <w:t>Secretara Consiliului comunal                                                   Petrașcu Aliona</w:t>
      </w:r>
    </w:p>
    <w:p w14:paraId="78387FDF">
      <w:pPr>
        <w:jc w:val="right"/>
        <w:rPr>
          <w:i/>
          <w:lang w:val="es-ES"/>
        </w:rPr>
      </w:pPr>
    </w:p>
    <w:p w14:paraId="2A2CEF2F">
      <w:pPr>
        <w:rPr>
          <w:i/>
          <w:lang w:val="es-ES"/>
        </w:rPr>
      </w:pPr>
    </w:p>
    <w:sectPr>
      <w:pgSz w:w="11906" w:h="16838"/>
      <w:pgMar w:top="1134" w:right="850" w:bottom="1134" w:left="1587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7B5B1B"/>
    <w:multiLevelType w:val="multilevel"/>
    <w:tmpl w:val="367B5B1B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720" w:hanging="360"/>
      </w:pPr>
    </w:lvl>
    <w:lvl w:ilvl="2" w:tentative="0">
      <w:start w:val="1"/>
      <w:numFmt w:val="lowerRoman"/>
      <w:lvlText w:val="%3)"/>
      <w:lvlJc w:val="left"/>
      <w:pPr>
        <w:ind w:left="1080" w:hanging="360"/>
      </w:pPr>
    </w:lvl>
    <w:lvl w:ilvl="3" w:tentative="0">
      <w:start w:val="1"/>
      <w:numFmt w:val="decimal"/>
      <w:lvlText w:val="(%4)"/>
      <w:lvlJc w:val="left"/>
      <w:pPr>
        <w:ind w:left="1440" w:hanging="360"/>
      </w:pPr>
    </w:lvl>
    <w:lvl w:ilvl="4" w:tentative="0">
      <w:start w:val="1"/>
      <w:numFmt w:val="lowerLetter"/>
      <w:lvlText w:val="(%5)"/>
      <w:lvlJc w:val="left"/>
      <w:pPr>
        <w:ind w:left="1800" w:hanging="360"/>
      </w:pPr>
    </w:lvl>
    <w:lvl w:ilvl="5" w:tentative="0">
      <w:start w:val="1"/>
      <w:numFmt w:val="lowerRoman"/>
      <w:lvlText w:val="(%6)"/>
      <w:lvlJc w:val="left"/>
      <w:pPr>
        <w:ind w:left="2160" w:hanging="360"/>
      </w:pPr>
    </w:lvl>
    <w:lvl w:ilvl="6" w:tentative="0">
      <w:start w:val="1"/>
      <w:numFmt w:val="decimal"/>
      <w:lvlText w:val="%7."/>
      <w:lvlJc w:val="left"/>
      <w:pPr>
        <w:ind w:left="2520" w:hanging="360"/>
      </w:pPr>
    </w:lvl>
    <w:lvl w:ilvl="7" w:tentative="0">
      <w:start w:val="1"/>
      <w:numFmt w:val="lowerLetter"/>
      <w:lvlText w:val="%8."/>
      <w:lvlJc w:val="left"/>
      <w:pPr>
        <w:ind w:left="2880" w:hanging="360"/>
      </w:pPr>
    </w:lvl>
    <w:lvl w:ilvl="8" w:tentative="0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4832696"/>
    <w:multiLevelType w:val="multilevel"/>
    <w:tmpl w:val="44832696"/>
    <w:lvl w:ilvl="0" w:tentative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eastAsia="Calibri" w:cs="Times New Roman"/>
        <w:b/>
        <w:bCs w:val="0"/>
        <w:i w:val="0"/>
        <w:iCs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47F2E"/>
    <w:rsid w:val="00061E7A"/>
    <w:rsid w:val="000623F3"/>
    <w:rsid w:val="000827EA"/>
    <w:rsid w:val="00082B18"/>
    <w:rsid w:val="000A5FCF"/>
    <w:rsid w:val="000C03B5"/>
    <w:rsid w:val="00102F69"/>
    <w:rsid w:val="001152C3"/>
    <w:rsid w:val="00157031"/>
    <w:rsid w:val="00183194"/>
    <w:rsid w:val="001A265D"/>
    <w:rsid w:val="00223F76"/>
    <w:rsid w:val="00271446"/>
    <w:rsid w:val="002E2488"/>
    <w:rsid w:val="002F34C6"/>
    <w:rsid w:val="0033748B"/>
    <w:rsid w:val="00337E63"/>
    <w:rsid w:val="003404FA"/>
    <w:rsid w:val="003C52F5"/>
    <w:rsid w:val="003D3ADD"/>
    <w:rsid w:val="003D563C"/>
    <w:rsid w:val="0041207F"/>
    <w:rsid w:val="00462A18"/>
    <w:rsid w:val="00464ECC"/>
    <w:rsid w:val="004B471F"/>
    <w:rsid w:val="004D1A17"/>
    <w:rsid w:val="00531C6F"/>
    <w:rsid w:val="0054343B"/>
    <w:rsid w:val="00546B3C"/>
    <w:rsid w:val="00601C13"/>
    <w:rsid w:val="006232BA"/>
    <w:rsid w:val="006505E8"/>
    <w:rsid w:val="0065241E"/>
    <w:rsid w:val="0068714B"/>
    <w:rsid w:val="006C085D"/>
    <w:rsid w:val="00714128"/>
    <w:rsid w:val="00717BF0"/>
    <w:rsid w:val="007352C9"/>
    <w:rsid w:val="0075273F"/>
    <w:rsid w:val="007C48AE"/>
    <w:rsid w:val="007D1583"/>
    <w:rsid w:val="00815178"/>
    <w:rsid w:val="00827456"/>
    <w:rsid w:val="008306BC"/>
    <w:rsid w:val="00852800"/>
    <w:rsid w:val="00887C5B"/>
    <w:rsid w:val="008B4DCD"/>
    <w:rsid w:val="008E37B9"/>
    <w:rsid w:val="008F3283"/>
    <w:rsid w:val="009275D2"/>
    <w:rsid w:val="0097250F"/>
    <w:rsid w:val="009D5582"/>
    <w:rsid w:val="009D73D2"/>
    <w:rsid w:val="00A95FB2"/>
    <w:rsid w:val="00AE6A58"/>
    <w:rsid w:val="00B24E0F"/>
    <w:rsid w:val="00B42069"/>
    <w:rsid w:val="00B84C38"/>
    <w:rsid w:val="00C61076"/>
    <w:rsid w:val="00C76B58"/>
    <w:rsid w:val="00C83339"/>
    <w:rsid w:val="00D513BE"/>
    <w:rsid w:val="00D84DDF"/>
    <w:rsid w:val="00DB68DA"/>
    <w:rsid w:val="00DE2DD5"/>
    <w:rsid w:val="00E45B66"/>
    <w:rsid w:val="00E71383"/>
    <w:rsid w:val="00EA0952"/>
    <w:rsid w:val="00EB7084"/>
    <w:rsid w:val="00EF0C7C"/>
    <w:rsid w:val="00F2723E"/>
    <w:rsid w:val="00F6263B"/>
    <w:rsid w:val="00F71905"/>
    <w:rsid w:val="00F7412E"/>
    <w:rsid w:val="00FE02FA"/>
    <w:rsid w:val="00FF548B"/>
    <w:rsid w:val="09296592"/>
    <w:rsid w:val="4A2867C7"/>
    <w:rsid w:val="51A54BF6"/>
    <w:rsid w:val="62C06F3B"/>
    <w:rsid w:val="66C325D7"/>
    <w:rsid w:val="73073A48"/>
    <w:rsid w:val="7482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11"/>
    <w:unhideWhenUsed/>
    <w:qFormat/>
    <w:uiPriority w:val="0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0"/>
    <w:rPr>
      <w:color w:val="0000FF"/>
      <w:u w:val="single"/>
    </w:rPr>
  </w:style>
  <w:style w:type="paragraph" w:styleId="6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Body Text"/>
    <w:basedOn w:val="1"/>
    <w:link w:val="9"/>
    <w:semiHidden/>
    <w:unhideWhenUsed/>
    <w:qFormat/>
    <w:uiPriority w:val="0"/>
    <w:pPr>
      <w:spacing w:after="120"/>
    </w:pPr>
  </w:style>
  <w:style w:type="table" w:styleId="8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Corp text Caracter"/>
    <w:basedOn w:val="3"/>
    <w:link w:val="7"/>
    <w:semiHidden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">
    <w:name w:val="No Spacing"/>
    <w:link w:val="12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1">
    <w:name w:val="Titlu 2 Caracter"/>
    <w:basedOn w:val="3"/>
    <w:link w:val="2"/>
    <w:qFormat/>
    <w:uiPriority w:val="0"/>
    <w:rPr>
      <w:rFonts w:ascii="Times New Roman" w:hAnsi="Times New Roman" w:eastAsia="Calibri" w:cs="Times New Roman"/>
      <w:b/>
      <w:color w:val="FF00FF"/>
      <w:sz w:val="28"/>
      <w:szCs w:val="20"/>
      <w:lang w:val="ro-RO" w:eastAsia="ru-RU"/>
    </w:rPr>
  </w:style>
  <w:style w:type="character" w:customStyle="1" w:styleId="12">
    <w:name w:val="Fără spațiere Caracter"/>
    <w:basedOn w:val="3"/>
    <w:link w:val="10"/>
    <w:qFormat/>
    <w:locked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Text în Balon Caracter"/>
    <w:basedOn w:val="3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448</Words>
  <Characters>2557</Characters>
  <Lines>21</Lines>
  <Paragraphs>5</Paragraphs>
  <TotalTime>26</TotalTime>
  <ScaleCrop>false</ScaleCrop>
  <LinksUpToDate>false</LinksUpToDate>
  <CharactersWithSpaces>3000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2020-11-12T17:30:00Z</dcterms:created>
  <dc:creator>Пользователь</dc:creator>
  <cp:lastModifiedBy>LENOVO</cp:lastModifiedBy>
  <cp:lastPrinted>2025-10-03T07:33:35Z</cp:lastPrinted>
  <dcterms:modified xsi:type="dcterms:W3CDTF">2025-10-03T07:34:07Z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DD718B33ACE94FBD9561C79D371F8EFC_12</vt:lpwstr>
  </property>
</Properties>
</file>