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FF5A13" w14:paraId="7B0B6223" w14:textId="77777777" w:rsidTr="00546B3C">
        <w:trPr>
          <w:trHeight w:val="1559"/>
        </w:trPr>
        <w:tc>
          <w:tcPr>
            <w:tcW w:w="4395" w:type="dxa"/>
          </w:tcPr>
          <w:p w14:paraId="0DB62024" w14:textId="77777777" w:rsidR="00546B3C" w:rsidRPr="00546B3C" w:rsidRDefault="00546B3C" w:rsidP="0070568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EFBB1D0" w14:textId="77777777" w:rsidR="00DF5B61" w:rsidRPr="00DF5B61" w:rsidRDefault="00DF5B61" w:rsidP="00DF5B61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38E13CE6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33EA1035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357C9420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074B656C" w14:textId="719A9977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</w:t>
            </w:r>
            <w:r w:rsidRPr="00987B2B"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27E92E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1A9395" wp14:editId="33066E4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D5E035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3407580D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8C9BBDF" w14:textId="77777777" w:rsidR="00546B3C" w:rsidRPr="00546B3C" w:rsidRDefault="00546B3C" w:rsidP="00DF5B61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E3928FD" w14:textId="77777777" w:rsidR="00DF5B61" w:rsidRDefault="00DF5B61" w:rsidP="00DF5B61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</w:t>
            </w:r>
            <w:r w:rsidRPr="00546B3C">
              <w:rPr>
                <w:b/>
                <w:sz w:val="22"/>
                <w:szCs w:val="22"/>
                <w:lang w:eastAsia="en-US"/>
              </w:rPr>
              <w:t xml:space="preserve"> РАЙОН</w:t>
            </w:r>
          </w:p>
          <w:p w14:paraId="41E6369F" w14:textId="77777777" w:rsidR="00546B3C" w:rsidRPr="00546B3C" w:rsidRDefault="00546B3C" w:rsidP="00DF5B61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7CA3AE4" w14:textId="77777777" w:rsidR="00546B3C" w:rsidRPr="00546B3C" w:rsidRDefault="0075273F" w:rsidP="00DF5B61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4422174" w14:textId="77777777" w:rsidR="00546B3C" w:rsidRDefault="00DF5B61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</w:t>
            </w:r>
            <w:r w:rsidR="00546B3C">
              <w:rPr>
                <w:sz w:val="16"/>
                <w:szCs w:val="16"/>
                <w:lang w:val="ro-MD"/>
              </w:rPr>
              <w:t xml:space="preserve">   </w:t>
            </w:r>
          </w:p>
          <w:p w14:paraId="580A5D2B" w14:textId="77777777" w:rsidR="00546B3C" w:rsidRPr="00546B3C" w:rsidRDefault="00546B3C" w:rsidP="00546B3C">
            <w:pPr>
              <w:pStyle w:val="Frspaier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0A52865" w14:textId="6C5B0F13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EC0C26F" w14:textId="77777777" w:rsidR="006505E8" w:rsidRDefault="006505E8" w:rsidP="006C085D">
      <w:pPr>
        <w:rPr>
          <w:b/>
          <w:lang w:val="ro-RO"/>
        </w:rPr>
      </w:pPr>
    </w:p>
    <w:p w14:paraId="43F027EA" w14:textId="374EEBBC" w:rsidR="006505E8" w:rsidRPr="0075613D" w:rsidRDefault="000D3416" w:rsidP="0075613D">
      <w:pPr>
        <w:jc w:val="center"/>
        <w:rPr>
          <w:b/>
          <w:i/>
          <w:iCs/>
          <w:sz w:val="28"/>
          <w:szCs w:val="28"/>
          <w:u w:val="single"/>
          <w:lang w:val="ro-RO"/>
        </w:rPr>
      </w:pPr>
      <w:r>
        <w:rPr>
          <w:b/>
          <w:i/>
          <w:iCs/>
          <w:sz w:val="28"/>
          <w:szCs w:val="28"/>
          <w:u w:val="single"/>
          <w:lang w:val="ro-RO"/>
        </w:rPr>
        <w:t>PROIECT</w:t>
      </w:r>
    </w:p>
    <w:p w14:paraId="6F382521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57F55D1F" w14:textId="77777777" w:rsidR="006505E8" w:rsidRPr="006505E8" w:rsidRDefault="006505E8" w:rsidP="006C085D">
      <w:pPr>
        <w:rPr>
          <w:b/>
          <w:lang w:val="en-US"/>
        </w:rPr>
      </w:pPr>
    </w:p>
    <w:p w14:paraId="7B024B18" w14:textId="1591FE8B" w:rsidR="0000776B" w:rsidRPr="0000776B" w:rsidRDefault="004B471F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0D3416">
        <w:rPr>
          <w:b/>
          <w:color w:val="000000"/>
          <w:kern w:val="1"/>
          <w:sz w:val="28"/>
          <w:szCs w:val="28"/>
          <w:lang w:val="en-US" w:eastAsia="ar-SA"/>
        </w:rPr>
        <w:t>6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824007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</w:t>
      </w:r>
    </w:p>
    <w:p w14:paraId="2207D9F2" w14:textId="3C62BD56" w:rsidR="0000776B" w:rsidRPr="0000776B" w:rsidRDefault="0079254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5B224D">
        <w:rPr>
          <w:b/>
          <w:color w:val="000000"/>
          <w:kern w:val="1"/>
          <w:sz w:val="28"/>
          <w:szCs w:val="28"/>
          <w:lang w:val="en-US" w:eastAsia="ar-SA"/>
        </w:rPr>
        <w:t>in</w:t>
      </w:r>
      <w:r w:rsidR="00697011">
        <w:rPr>
          <w:b/>
          <w:color w:val="000000"/>
          <w:kern w:val="1"/>
          <w:sz w:val="28"/>
          <w:szCs w:val="28"/>
          <w:lang w:val="en-US" w:eastAsia="ar-SA"/>
        </w:rPr>
        <w:t xml:space="preserve"> 01 octombrie</w:t>
      </w:r>
      <w:r w:rsidR="00E21F8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C35562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E57B31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2240E711" w14:textId="77777777"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14:paraId="3228AC4B" w14:textId="548A2560" w:rsidR="009015F7" w:rsidRDefault="004B471F" w:rsidP="009015F7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 w:rsidRPr="004B471F"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Cu privire la aprobarea </w:t>
      </w:r>
      <w:r w:rsidR="00824007">
        <w:rPr>
          <w:b/>
          <w:i/>
          <w:color w:val="000000"/>
          <w:kern w:val="1"/>
          <w:sz w:val="28"/>
          <w:szCs w:val="28"/>
          <w:lang w:val="ro-RO" w:eastAsia="ar-SA"/>
        </w:rPr>
        <w:t>corelării</w:t>
      </w:r>
      <w:r w:rsidR="009015F7"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 </w:t>
      </w:r>
      <w:r w:rsidR="009015F7" w:rsidRPr="004B471F">
        <w:rPr>
          <w:b/>
          <w:i/>
          <w:color w:val="000000"/>
          <w:kern w:val="1"/>
          <w:sz w:val="28"/>
          <w:szCs w:val="28"/>
          <w:lang w:val="ro-RO" w:eastAsia="ar-SA"/>
        </w:rPr>
        <w:t>bugetului</w:t>
      </w:r>
      <w:r w:rsidR="009015F7"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 </w:t>
      </w:r>
    </w:p>
    <w:p w14:paraId="4ED02847" w14:textId="3CB1E33C" w:rsidR="009015F7" w:rsidRDefault="009015F7" w:rsidP="009015F7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comunei  Boșcana conform dispoziției </w:t>
      </w:r>
    </w:p>
    <w:p w14:paraId="1989E198" w14:textId="63FCEB62" w:rsidR="009015F7" w:rsidRPr="004B471F" w:rsidRDefault="009015F7" w:rsidP="009015F7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>
        <w:rPr>
          <w:b/>
          <w:i/>
          <w:color w:val="000000"/>
          <w:kern w:val="1"/>
          <w:sz w:val="28"/>
          <w:szCs w:val="28"/>
          <w:lang w:val="ro-RO" w:eastAsia="ar-SA"/>
        </w:rPr>
        <w:t>nr.</w:t>
      </w:r>
      <w:r w:rsidR="00824007">
        <w:rPr>
          <w:b/>
          <w:i/>
          <w:color w:val="000000"/>
          <w:kern w:val="1"/>
          <w:sz w:val="28"/>
          <w:szCs w:val="28"/>
          <w:lang w:val="ro-RO" w:eastAsia="ar-SA"/>
        </w:rPr>
        <w:t>65</w:t>
      </w:r>
      <w:r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 din </w:t>
      </w:r>
      <w:r w:rsidR="00E83B3A">
        <w:rPr>
          <w:b/>
          <w:i/>
          <w:color w:val="000000"/>
          <w:kern w:val="1"/>
          <w:sz w:val="28"/>
          <w:szCs w:val="28"/>
          <w:lang w:val="ro-RO" w:eastAsia="ar-SA"/>
        </w:rPr>
        <w:t>29</w:t>
      </w:r>
      <w:r>
        <w:rPr>
          <w:b/>
          <w:i/>
          <w:color w:val="000000"/>
          <w:kern w:val="1"/>
          <w:sz w:val="28"/>
          <w:szCs w:val="28"/>
          <w:lang w:val="ro-RO" w:eastAsia="ar-SA"/>
        </w:rPr>
        <w:t>.0</w:t>
      </w:r>
      <w:r w:rsidR="00E83B3A">
        <w:rPr>
          <w:b/>
          <w:i/>
          <w:color w:val="000000"/>
          <w:kern w:val="1"/>
          <w:sz w:val="28"/>
          <w:szCs w:val="28"/>
          <w:lang w:val="ro-RO" w:eastAsia="ar-SA"/>
        </w:rPr>
        <w:t>8</w:t>
      </w:r>
      <w:r>
        <w:rPr>
          <w:b/>
          <w:i/>
          <w:color w:val="000000"/>
          <w:kern w:val="1"/>
          <w:sz w:val="28"/>
          <w:szCs w:val="28"/>
          <w:lang w:val="ro-RO" w:eastAsia="ar-SA"/>
        </w:rPr>
        <w:t>.2024</w:t>
      </w:r>
    </w:p>
    <w:p w14:paraId="7FA2E7B3" w14:textId="77777777" w:rsidR="00DF5B61" w:rsidRPr="004B471F" w:rsidRDefault="00DF5B61" w:rsidP="004B471F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</w:p>
    <w:p w14:paraId="422F1645" w14:textId="58F95522" w:rsidR="00E57B31" w:rsidRDefault="0070568B" w:rsidP="00263215">
      <w:pPr>
        <w:jc w:val="both"/>
        <w:rPr>
          <w:sz w:val="28"/>
          <w:szCs w:val="28"/>
          <w:lang w:val="en-US"/>
        </w:rPr>
      </w:pPr>
      <w:r>
        <w:rPr>
          <w:color w:val="000000"/>
          <w:kern w:val="1"/>
          <w:sz w:val="28"/>
          <w:szCs w:val="28"/>
          <w:lang w:val="ro-RO" w:eastAsia="ar-SA"/>
        </w:rPr>
        <w:t xml:space="preserve">          </w:t>
      </w:r>
      <w:r w:rsidR="00263215">
        <w:rPr>
          <w:sz w:val="28"/>
          <w:szCs w:val="28"/>
          <w:lang w:val="ro-RO"/>
        </w:rPr>
        <w:t>În temeiul art.14 alin</w:t>
      </w:r>
      <w:r w:rsidR="000D3416">
        <w:rPr>
          <w:sz w:val="28"/>
          <w:szCs w:val="28"/>
          <w:lang w:val="ro-RO"/>
        </w:rPr>
        <w:t>.</w:t>
      </w:r>
      <w:r w:rsidR="00263215">
        <w:rPr>
          <w:sz w:val="28"/>
          <w:szCs w:val="28"/>
          <w:lang w:val="ro-RO"/>
        </w:rPr>
        <w:t xml:space="preserve"> (2) lit</w:t>
      </w:r>
      <w:r w:rsidR="000D3416">
        <w:rPr>
          <w:sz w:val="28"/>
          <w:szCs w:val="28"/>
          <w:lang w:val="ro-RO"/>
        </w:rPr>
        <w:t>.</w:t>
      </w:r>
      <w:r w:rsidR="00263215">
        <w:rPr>
          <w:sz w:val="28"/>
          <w:szCs w:val="28"/>
          <w:lang w:val="ro-RO"/>
        </w:rPr>
        <w:t xml:space="preserve"> n)</w:t>
      </w:r>
      <w:r w:rsidR="00FF5A13">
        <w:rPr>
          <w:sz w:val="28"/>
          <w:szCs w:val="28"/>
          <w:lang w:val="ro-RO"/>
        </w:rPr>
        <w:t xml:space="preserve"> </w:t>
      </w:r>
      <w:r w:rsidR="00263215">
        <w:rPr>
          <w:sz w:val="28"/>
          <w:szCs w:val="28"/>
          <w:lang w:val="ro-RO"/>
        </w:rPr>
        <w:t>al Legii nr. 436/2006</w:t>
      </w:r>
      <w:r w:rsidR="000D3416">
        <w:rPr>
          <w:sz w:val="28"/>
          <w:szCs w:val="28"/>
          <w:lang w:val="ro-RO"/>
        </w:rPr>
        <w:t xml:space="preserve">, </w:t>
      </w:r>
      <w:r w:rsidR="00263215">
        <w:rPr>
          <w:sz w:val="28"/>
          <w:szCs w:val="28"/>
          <w:lang w:val="ro-RO"/>
        </w:rPr>
        <w:t xml:space="preserve"> privind administraţia publică locală, în conformitate cu art.</w:t>
      </w:r>
      <w:r w:rsidR="00FF5A13">
        <w:rPr>
          <w:sz w:val="28"/>
          <w:szCs w:val="28"/>
          <w:lang w:val="ro-RO"/>
        </w:rPr>
        <w:t>55(5)</w:t>
      </w:r>
      <w:r w:rsidR="00E57B31">
        <w:rPr>
          <w:sz w:val="28"/>
          <w:szCs w:val="28"/>
          <w:lang w:val="ro-RO"/>
        </w:rPr>
        <w:t xml:space="preserve"> </w:t>
      </w:r>
      <w:r w:rsidR="00263215">
        <w:rPr>
          <w:sz w:val="28"/>
          <w:szCs w:val="28"/>
          <w:lang w:val="ro-RO"/>
        </w:rPr>
        <w:t>al Legii finanţelor publice şi responsabilităţii bugetar-fiscale nr. 181/2014,  țin</w:t>
      </w:r>
      <w:r w:rsidR="00C4232E">
        <w:rPr>
          <w:sz w:val="28"/>
          <w:szCs w:val="28"/>
          <w:lang w:val="ro-RO"/>
        </w:rPr>
        <w:t>â</w:t>
      </w:r>
      <w:r w:rsidR="00263215">
        <w:rPr>
          <w:sz w:val="28"/>
          <w:szCs w:val="28"/>
          <w:lang w:val="ro-RO"/>
        </w:rPr>
        <w:t>ndu-se cont  de prevederile  art.</w:t>
      </w:r>
      <w:r w:rsidR="00FF5A13">
        <w:rPr>
          <w:sz w:val="28"/>
          <w:szCs w:val="28"/>
          <w:lang w:val="ro-RO"/>
        </w:rPr>
        <w:t xml:space="preserve">24(1) </w:t>
      </w:r>
      <w:r w:rsidR="00263215">
        <w:rPr>
          <w:sz w:val="28"/>
          <w:szCs w:val="28"/>
          <w:lang w:val="ro-RO"/>
        </w:rPr>
        <w:t>al Legii nr. 397/2003 privind finanţele publice locale</w:t>
      </w:r>
      <w:r w:rsidR="00263215" w:rsidRPr="00263215">
        <w:rPr>
          <w:sz w:val="28"/>
          <w:szCs w:val="28"/>
          <w:lang w:val="en-US"/>
        </w:rPr>
        <w:t xml:space="preserve">, </w:t>
      </w:r>
    </w:p>
    <w:p w14:paraId="6D3DC513" w14:textId="2CE8BE39" w:rsidR="00E57B31" w:rsidRDefault="00E57B31" w:rsidP="0026321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r w:rsidR="00C4232E">
        <w:rPr>
          <w:sz w:val="28"/>
          <w:szCs w:val="28"/>
          <w:lang w:val="en-US"/>
        </w:rPr>
        <w:t>î</w:t>
      </w:r>
      <w:r>
        <w:rPr>
          <w:sz w:val="28"/>
          <w:szCs w:val="28"/>
          <w:lang w:val="en-US"/>
        </w:rPr>
        <w:t xml:space="preserve">n scopul </w:t>
      </w:r>
      <w:r w:rsidR="00824007" w:rsidRPr="00824007">
        <w:rPr>
          <w:sz w:val="28"/>
          <w:szCs w:val="28"/>
          <w:lang w:val="en-US"/>
        </w:rPr>
        <w:t xml:space="preserve">executării Hotărârii de Guvern nr.568 din 07.08.2024, prin care au fost repartizate mijloace financiare </w:t>
      </w:r>
      <w:r w:rsidR="00824007">
        <w:rPr>
          <w:sz w:val="28"/>
          <w:szCs w:val="28"/>
          <w:lang w:val="en-US"/>
        </w:rPr>
        <w:t>ca</w:t>
      </w:r>
      <w:r w:rsidR="00824007" w:rsidRPr="00824007">
        <w:rPr>
          <w:sz w:val="28"/>
          <w:szCs w:val="28"/>
          <w:lang w:val="en-US"/>
        </w:rPr>
        <w:t xml:space="preserve"> alte transferuri curente cu destinație generală în scopul acoperirii cheltuielilor</w:t>
      </w:r>
      <w:r w:rsidR="00824007">
        <w:rPr>
          <w:sz w:val="28"/>
          <w:szCs w:val="28"/>
          <w:lang w:val="en-US"/>
        </w:rPr>
        <w:t xml:space="preserve"> pentru asigurarea prevederilor cadrului normativ privind salarizarea în sectorul bugetar precum și în rezultatul precizărilor sumelor transferurilor</w:t>
      </w:r>
      <w:r w:rsidR="00E83B3A">
        <w:rPr>
          <w:sz w:val="28"/>
          <w:szCs w:val="28"/>
          <w:lang w:val="en-US"/>
        </w:rPr>
        <w:t xml:space="preserve"> cu destinație specială pentru învățământul general,  </w:t>
      </w:r>
      <w:r w:rsidR="00824007">
        <w:rPr>
          <w:sz w:val="28"/>
          <w:szCs w:val="28"/>
          <w:lang w:val="en-US"/>
        </w:rPr>
        <w:t xml:space="preserve"> de la bugetul de stat la bugetele locale pentru anul 2024</w:t>
      </w:r>
      <w:r w:rsidR="00E83B3A">
        <w:rPr>
          <w:sz w:val="28"/>
          <w:szCs w:val="28"/>
          <w:lang w:val="en-US"/>
        </w:rPr>
        <w:t xml:space="preserve">, </w:t>
      </w:r>
    </w:p>
    <w:p w14:paraId="279FA847" w14:textId="3EEA6CB1" w:rsidR="004B471F" w:rsidRPr="00263215" w:rsidRDefault="00E57B31" w:rsidP="00263215">
      <w:pPr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</w:t>
      </w:r>
      <w:r w:rsidR="000D3416">
        <w:rPr>
          <w:sz w:val="28"/>
          <w:szCs w:val="28"/>
          <w:lang w:val="en-US"/>
        </w:rPr>
        <w:t xml:space="preserve">         </w:t>
      </w:r>
      <w:r w:rsidR="00263215">
        <w:rPr>
          <w:sz w:val="28"/>
          <w:szCs w:val="28"/>
          <w:lang w:val="ro-RO"/>
        </w:rPr>
        <w:t xml:space="preserve">având ca bază avizul comisiei </w:t>
      </w:r>
      <w:r w:rsidR="009F49E4">
        <w:rPr>
          <w:sz w:val="28"/>
          <w:szCs w:val="28"/>
          <w:lang w:val="ro-RO"/>
        </w:rPr>
        <w:t>pentru economie, buget și finanțe</w:t>
      </w:r>
      <w:r w:rsidR="00263215">
        <w:rPr>
          <w:sz w:val="28"/>
          <w:szCs w:val="28"/>
          <w:lang w:val="ro-RO"/>
        </w:rPr>
        <w:t xml:space="preserve">, </w:t>
      </w:r>
      <w:r w:rsidR="00263215">
        <w:rPr>
          <w:b/>
          <w:sz w:val="28"/>
          <w:szCs w:val="28"/>
          <w:lang w:val="ro-RO"/>
        </w:rPr>
        <w:t xml:space="preserve"> </w:t>
      </w:r>
      <w:r w:rsidR="004B471F" w:rsidRPr="004B471F">
        <w:rPr>
          <w:color w:val="000000"/>
          <w:kern w:val="1"/>
          <w:sz w:val="28"/>
          <w:szCs w:val="28"/>
          <w:lang w:val="ro-RO" w:eastAsia="ar-SA"/>
        </w:rPr>
        <w:t>Consiliul comunal</w:t>
      </w:r>
      <w:r w:rsidR="00335F62">
        <w:rPr>
          <w:color w:val="000000"/>
          <w:kern w:val="1"/>
          <w:sz w:val="28"/>
          <w:szCs w:val="28"/>
          <w:lang w:val="ro-RO" w:eastAsia="ar-SA"/>
        </w:rPr>
        <w:t>,</w:t>
      </w:r>
    </w:p>
    <w:p w14:paraId="33077526" w14:textId="77777777" w:rsidR="004B471F" w:rsidRPr="004B471F" w:rsidRDefault="004B471F" w:rsidP="004B471F">
      <w:pPr>
        <w:tabs>
          <w:tab w:val="left" w:pos="0"/>
        </w:tabs>
        <w:suppressAutoHyphens/>
        <w:jc w:val="both"/>
        <w:rPr>
          <w:bCs/>
          <w:color w:val="000000"/>
          <w:kern w:val="1"/>
          <w:sz w:val="28"/>
          <w:szCs w:val="28"/>
          <w:lang w:val="en-US" w:eastAsia="ar-SA"/>
        </w:rPr>
      </w:pPr>
    </w:p>
    <w:p w14:paraId="402605FA" w14:textId="77777777" w:rsidR="004B471F" w:rsidRPr="004B471F" w:rsidRDefault="004B471F" w:rsidP="004B471F">
      <w:pPr>
        <w:tabs>
          <w:tab w:val="left" w:pos="0"/>
        </w:tabs>
        <w:suppressAutoHyphens/>
        <w:jc w:val="center"/>
        <w:rPr>
          <w:b/>
          <w:bCs/>
          <w:color w:val="000000"/>
          <w:kern w:val="1"/>
          <w:sz w:val="28"/>
          <w:szCs w:val="28"/>
          <w:lang w:val="en-US" w:eastAsia="ar-SA"/>
        </w:rPr>
      </w:pPr>
      <w:r w:rsidRPr="004B471F">
        <w:rPr>
          <w:b/>
          <w:bCs/>
          <w:i/>
          <w:color w:val="000000"/>
          <w:kern w:val="1"/>
          <w:sz w:val="28"/>
          <w:szCs w:val="28"/>
          <w:lang w:val="en-US" w:eastAsia="ar-SA"/>
        </w:rPr>
        <w:t>DECIDE:</w:t>
      </w:r>
    </w:p>
    <w:p w14:paraId="0DC01320" w14:textId="77777777" w:rsidR="004B471F" w:rsidRPr="004B471F" w:rsidRDefault="004B471F" w:rsidP="004B471F">
      <w:pPr>
        <w:tabs>
          <w:tab w:val="left" w:pos="0"/>
        </w:tabs>
        <w:suppressAutoHyphens/>
        <w:spacing w:line="360" w:lineRule="auto"/>
        <w:jc w:val="center"/>
        <w:rPr>
          <w:b/>
          <w:bCs/>
          <w:color w:val="000000"/>
          <w:kern w:val="1"/>
          <w:sz w:val="28"/>
          <w:szCs w:val="28"/>
          <w:lang w:val="en-US" w:eastAsia="ar-SA"/>
        </w:rPr>
      </w:pPr>
    </w:p>
    <w:p w14:paraId="69B93994" w14:textId="7C73D383" w:rsidR="00034AB7" w:rsidRPr="00E57B31" w:rsidRDefault="004B471F" w:rsidP="00E57B31">
      <w:pPr>
        <w:numPr>
          <w:ilvl w:val="0"/>
          <w:numId w:val="11"/>
        </w:numPr>
        <w:tabs>
          <w:tab w:val="left" w:pos="0"/>
        </w:tabs>
        <w:suppressAutoHyphens/>
        <w:jc w:val="both"/>
        <w:rPr>
          <w:color w:val="000000"/>
          <w:kern w:val="1"/>
          <w:sz w:val="28"/>
          <w:szCs w:val="28"/>
          <w:lang w:val="en-US" w:eastAsia="ar-SA"/>
        </w:rPr>
      </w:pPr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Se aprobă </w:t>
      </w:r>
      <w:r w:rsidR="00E83B3A">
        <w:rPr>
          <w:bCs/>
          <w:color w:val="000000"/>
          <w:kern w:val="1"/>
          <w:sz w:val="28"/>
          <w:szCs w:val="28"/>
          <w:lang w:val="en-US" w:eastAsia="ar-SA"/>
        </w:rPr>
        <w:t>corelarea</w:t>
      </w:r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bugetului primăriei comunei Boșcana pentru anul 202</w:t>
      </w:r>
      <w:r w:rsidR="00E57B31">
        <w:rPr>
          <w:bCs/>
          <w:color w:val="000000"/>
          <w:kern w:val="1"/>
          <w:sz w:val="28"/>
          <w:szCs w:val="28"/>
          <w:lang w:val="en-US" w:eastAsia="ar-SA"/>
        </w:rPr>
        <w:t>4</w:t>
      </w:r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conform </w:t>
      </w:r>
      <w:r w:rsidR="00EF021E">
        <w:rPr>
          <w:bCs/>
          <w:color w:val="000000"/>
          <w:kern w:val="1"/>
          <w:sz w:val="28"/>
          <w:szCs w:val="28"/>
          <w:lang w:val="en-US" w:eastAsia="ar-SA"/>
        </w:rPr>
        <w:t xml:space="preserve">prevederilor </w:t>
      </w:r>
      <w:r w:rsidR="00EC2009">
        <w:rPr>
          <w:bCs/>
          <w:color w:val="000000"/>
          <w:kern w:val="1"/>
          <w:sz w:val="28"/>
          <w:szCs w:val="28"/>
          <w:lang w:val="en-US" w:eastAsia="ar-SA"/>
        </w:rPr>
        <w:t>dispoziției primar</w:t>
      </w:r>
      <w:r w:rsidR="00E83B3A">
        <w:rPr>
          <w:bCs/>
          <w:color w:val="000000"/>
          <w:kern w:val="1"/>
          <w:sz w:val="28"/>
          <w:szCs w:val="28"/>
          <w:lang w:val="en-US" w:eastAsia="ar-SA"/>
        </w:rPr>
        <w:t xml:space="preserve">ului interimar, </w:t>
      </w:r>
      <w:r w:rsidR="00EC2009">
        <w:rPr>
          <w:bCs/>
          <w:color w:val="000000"/>
          <w:kern w:val="1"/>
          <w:sz w:val="28"/>
          <w:szCs w:val="28"/>
          <w:lang w:val="en-US" w:eastAsia="ar-SA"/>
        </w:rPr>
        <w:t>nr.</w:t>
      </w:r>
      <w:r w:rsidR="00824007">
        <w:rPr>
          <w:bCs/>
          <w:color w:val="000000"/>
          <w:kern w:val="1"/>
          <w:sz w:val="28"/>
          <w:szCs w:val="28"/>
          <w:lang w:val="en-US" w:eastAsia="ar-SA"/>
        </w:rPr>
        <w:t>65</w:t>
      </w:r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din </w:t>
      </w:r>
      <w:r w:rsidR="00E83B3A">
        <w:rPr>
          <w:bCs/>
          <w:color w:val="000000"/>
          <w:kern w:val="1"/>
          <w:sz w:val="28"/>
          <w:szCs w:val="28"/>
          <w:lang w:val="en-US" w:eastAsia="ar-SA"/>
        </w:rPr>
        <w:t>29</w:t>
      </w:r>
      <w:r w:rsidR="00EC2009">
        <w:rPr>
          <w:bCs/>
          <w:color w:val="000000"/>
          <w:kern w:val="1"/>
          <w:sz w:val="28"/>
          <w:szCs w:val="28"/>
          <w:lang w:val="en-US" w:eastAsia="ar-SA"/>
        </w:rPr>
        <w:t>.</w:t>
      </w:r>
      <w:r w:rsidR="00E57B31">
        <w:rPr>
          <w:bCs/>
          <w:color w:val="000000"/>
          <w:kern w:val="1"/>
          <w:sz w:val="28"/>
          <w:szCs w:val="28"/>
          <w:lang w:val="en-US" w:eastAsia="ar-SA"/>
        </w:rPr>
        <w:t>0</w:t>
      </w:r>
      <w:r w:rsidR="00E83B3A">
        <w:rPr>
          <w:bCs/>
          <w:color w:val="000000"/>
          <w:kern w:val="1"/>
          <w:sz w:val="28"/>
          <w:szCs w:val="28"/>
          <w:lang w:val="en-US" w:eastAsia="ar-SA"/>
        </w:rPr>
        <w:t>8</w:t>
      </w:r>
      <w:r w:rsidR="00EC2009">
        <w:rPr>
          <w:bCs/>
          <w:color w:val="000000"/>
          <w:kern w:val="1"/>
          <w:sz w:val="28"/>
          <w:szCs w:val="28"/>
          <w:lang w:val="en-US" w:eastAsia="ar-SA"/>
        </w:rPr>
        <w:t>.202</w:t>
      </w:r>
      <w:r w:rsidR="00E57B31">
        <w:rPr>
          <w:bCs/>
          <w:color w:val="000000"/>
          <w:kern w:val="1"/>
          <w:sz w:val="28"/>
          <w:szCs w:val="28"/>
          <w:lang w:val="en-US" w:eastAsia="ar-SA"/>
        </w:rPr>
        <w:t>4.</w:t>
      </w:r>
    </w:p>
    <w:p w14:paraId="4D51AA4E" w14:textId="7A7CB58F" w:rsidR="00034AB7" w:rsidRPr="004B471F" w:rsidRDefault="00034AB7" w:rsidP="00034AB7">
      <w:pPr>
        <w:numPr>
          <w:ilvl w:val="0"/>
          <w:numId w:val="11"/>
        </w:numPr>
        <w:tabs>
          <w:tab w:val="left" w:pos="0"/>
        </w:tabs>
        <w:suppressAutoHyphens/>
        <w:jc w:val="both"/>
        <w:rPr>
          <w:color w:val="000000"/>
          <w:kern w:val="1"/>
          <w:sz w:val="28"/>
          <w:szCs w:val="28"/>
          <w:lang w:val="en-US" w:eastAsia="ar-SA"/>
        </w:rPr>
      </w:pPr>
      <w:r w:rsidRPr="00034AB7">
        <w:rPr>
          <w:bCs/>
          <w:color w:val="000000"/>
          <w:kern w:val="1"/>
          <w:sz w:val="28"/>
          <w:szCs w:val="28"/>
          <w:lang w:val="en-US" w:eastAsia="ar-SA"/>
        </w:rPr>
        <w:t>Prezenta decizie intră în vigoare la data publicării în Registrul de stat al actelor locale.</w:t>
      </w:r>
    </w:p>
    <w:p w14:paraId="003C5689" w14:textId="77777777" w:rsidR="0073075B" w:rsidRDefault="0073075B" w:rsidP="0073075B">
      <w:pPr>
        <w:tabs>
          <w:tab w:val="left" w:pos="0"/>
        </w:tabs>
        <w:suppressAutoHyphens/>
        <w:spacing w:line="360" w:lineRule="auto"/>
        <w:ind w:left="540"/>
        <w:jc w:val="both"/>
        <w:rPr>
          <w:bCs/>
          <w:color w:val="000000"/>
          <w:kern w:val="1"/>
          <w:sz w:val="28"/>
          <w:szCs w:val="28"/>
          <w:lang w:val="en-US" w:eastAsia="ar-SA"/>
        </w:rPr>
      </w:pPr>
    </w:p>
    <w:p w14:paraId="020303CA" w14:textId="77777777" w:rsidR="00B77595" w:rsidRDefault="0000776B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14:paraId="48B50C30" w14:textId="750DDC84" w:rsidR="0000776B" w:rsidRPr="0000776B" w:rsidRDefault="00B77595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="005B224D">
        <w:rPr>
          <w:b/>
          <w:color w:val="000000"/>
          <w:kern w:val="1"/>
          <w:sz w:val="28"/>
          <w:szCs w:val="28"/>
          <w:lang w:val="en-US" w:eastAsia="ar-SA"/>
        </w:rPr>
        <w:t>Preşedint</w:t>
      </w:r>
      <w:r w:rsidR="00C1745D">
        <w:rPr>
          <w:b/>
          <w:color w:val="000000"/>
          <w:kern w:val="1"/>
          <w:sz w:val="28"/>
          <w:szCs w:val="28"/>
          <w:lang w:val="en-US" w:eastAsia="ar-SA"/>
        </w:rPr>
        <w:t>ele</w:t>
      </w:r>
      <w:r w:rsidR="005B224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şedinţei,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</w:t>
      </w:r>
      <w:r w:rsidR="00544FF8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003B4E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</w:t>
      </w:r>
      <w:r w:rsidR="00544FF8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</w:t>
      </w:r>
      <w:r w:rsidR="00F931B1"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="006A6BB8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</w:t>
      </w:r>
      <w:r w:rsidR="0073075B">
        <w:rPr>
          <w:b/>
          <w:color w:val="000000"/>
          <w:kern w:val="1"/>
          <w:sz w:val="28"/>
          <w:szCs w:val="28"/>
          <w:lang w:val="en-US" w:eastAsia="ar-SA"/>
        </w:rPr>
        <w:t xml:space="preserve">         </w:t>
      </w:r>
      <w:r w:rsidR="00F931B1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</w:t>
      </w:r>
    </w:p>
    <w:p w14:paraId="64A162EE" w14:textId="77777777"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14:paraId="1E5D3EF9" w14:textId="18D9ECCC"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r w:rsidR="00C1745D">
        <w:rPr>
          <w:i/>
          <w:color w:val="000000"/>
          <w:kern w:val="1"/>
          <w:sz w:val="22"/>
          <w:szCs w:val="22"/>
          <w:lang w:val="en-US" w:eastAsia="ar-SA"/>
        </w:rPr>
        <w:t>c</w:t>
      </w:r>
      <w:r w:rsidR="00FB636F">
        <w:rPr>
          <w:i/>
          <w:color w:val="000000"/>
          <w:kern w:val="1"/>
          <w:sz w:val="22"/>
          <w:szCs w:val="22"/>
          <w:lang w:val="en-US" w:eastAsia="ar-SA"/>
        </w:rPr>
        <w:t>ontrasemnează:</w:t>
      </w:r>
    </w:p>
    <w:p w14:paraId="7A458941" w14:textId="77777777" w:rsidR="005B224D" w:rsidRPr="0000776B" w:rsidRDefault="005B224D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14:paraId="58C284F0" w14:textId="7B5E1AAF" w:rsidR="00403DFC" w:rsidRDefault="0000776B" w:rsidP="00E83B3A">
      <w:pPr>
        <w:tabs>
          <w:tab w:val="left" w:pos="0"/>
        </w:tabs>
        <w:suppressAutoHyphens/>
        <w:ind w:left="54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5B224D">
        <w:rPr>
          <w:b/>
          <w:color w:val="000000"/>
          <w:kern w:val="1"/>
          <w:sz w:val="28"/>
          <w:szCs w:val="28"/>
          <w:lang w:val="en-US" w:eastAsia="ar-SA"/>
        </w:rPr>
        <w:t xml:space="preserve"> Secretar</w:t>
      </w:r>
      <w:r w:rsidR="003F610E">
        <w:rPr>
          <w:b/>
          <w:color w:val="000000"/>
          <w:kern w:val="1"/>
          <w:sz w:val="28"/>
          <w:szCs w:val="28"/>
          <w:lang w:val="en-US" w:eastAsia="ar-SA"/>
        </w:rPr>
        <w:t>a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consiliului,                 </w:t>
      </w:r>
      <w:r w:rsidR="00F931B1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</w:t>
      </w:r>
      <w:r w:rsidR="00403DFC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Petrașcu Aliona                </w:t>
      </w:r>
    </w:p>
    <w:p w14:paraId="16E070C0" w14:textId="10E79AE3" w:rsidR="0073075B" w:rsidRPr="0073075B" w:rsidRDefault="0073075B" w:rsidP="00403DFC">
      <w:pPr>
        <w:tabs>
          <w:tab w:val="left" w:pos="0"/>
        </w:tabs>
        <w:suppressAutoHyphens/>
        <w:ind w:left="540"/>
        <w:jc w:val="both"/>
        <w:rPr>
          <w:bCs/>
          <w:color w:val="000000"/>
          <w:kern w:val="1"/>
          <w:sz w:val="28"/>
          <w:szCs w:val="28"/>
          <w:lang w:val="en-US" w:eastAsia="ar-SA"/>
        </w:rPr>
      </w:pPr>
      <w:r w:rsidRPr="0073075B">
        <w:rPr>
          <w:bCs/>
          <w:color w:val="000000"/>
          <w:kern w:val="1"/>
          <w:sz w:val="28"/>
          <w:szCs w:val="28"/>
          <w:lang w:val="en-US" w:eastAsia="ar-SA"/>
        </w:rPr>
        <w:t>Consilieri aleși</w:t>
      </w:r>
      <w:r w:rsidR="00DA32B8">
        <w:rPr>
          <w:bCs/>
          <w:color w:val="000000"/>
          <w:kern w:val="1"/>
          <w:sz w:val="28"/>
          <w:szCs w:val="28"/>
          <w:lang w:val="en-US" w:eastAsia="ar-SA"/>
        </w:rPr>
        <w:t>:</w:t>
      </w:r>
      <w:r w:rsidRPr="0073075B">
        <w:rPr>
          <w:bCs/>
          <w:color w:val="000000"/>
          <w:kern w:val="1"/>
          <w:sz w:val="28"/>
          <w:szCs w:val="28"/>
          <w:lang w:val="en-US" w:eastAsia="ar-SA"/>
        </w:rPr>
        <w:t>13</w:t>
      </w:r>
    </w:p>
    <w:p w14:paraId="594C7005" w14:textId="135BEF85" w:rsidR="0073075B" w:rsidRDefault="0073075B" w:rsidP="00403DFC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Consilieri prezenți:</w:t>
      </w:r>
      <w:r w:rsidR="00003B4E">
        <w:rPr>
          <w:bCs/>
          <w:sz w:val="28"/>
          <w:szCs w:val="28"/>
          <w:lang w:val="en-US"/>
        </w:rPr>
        <w:t xml:space="preserve"> </w:t>
      </w:r>
    </w:p>
    <w:p w14:paraId="58AF88A9" w14:textId="3D0B69F1" w:rsidR="00546B3C" w:rsidRPr="00EF021E" w:rsidRDefault="0073075B" w:rsidP="00403DFC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>Pentru</w:t>
      </w:r>
      <w:r>
        <w:rPr>
          <w:b/>
          <w:bCs/>
          <w:i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- </w:t>
      </w:r>
      <w:r w:rsidR="00E57B31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 - </w:t>
      </w:r>
      <w:r w:rsidR="00824007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-</w:t>
      </w:r>
      <w:r w:rsidR="00E57B31">
        <w:rPr>
          <w:bCs/>
          <w:sz w:val="28"/>
          <w:szCs w:val="28"/>
          <w:lang w:val="ro-RO"/>
        </w:rPr>
        <w:t xml:space="preserve"> </w:t>
      </w:r>
      <w:r w:rsidR="00824007">
        <w:rPr>
          <w:bCs/>
          <w:sz w:val="28"/>
          <w:szCs w:val="28"/>
          <w:lang w:val="ro-RO"/>
        </w:rPr>
        <w:t xml:space="preserve"> </w:t>
      </w:r>
      <w:r w:rsidR="00544FF8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 </w:t>
      </w:r>
    </w:p>
    <w:sectPr w:rsidR="00546B3C" w:rsidRPr="00EF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2137221">
    <w:abstractNumId w:val="3"/>
  </w:num>
  <w:num w:numId="2" w16cid:durableId="2094038136">
    <w:abstractNumId w:val="9"/>
  </w:num>
  <w:num w:numId="3" w16cid:durableId="1598825699">
    <w:abstractNumId w:val="2"/>
  </w:num>
  <w:num w:numId="4" w16cid:durableId="249121712">
    <w:abstractNumId w:val="1"/>
  </w:num>
  <w:num w:numId="5" w16cid:durableId="1303199091">
    <w:abstractNumId w:val="10"/>
  </w:num>
  <w:num w:numId="6" w16cid:durableId="2061440399">
    <w:abstractNumId w:val="6"/>
  </w:num>
  <w:num w:numId="7" w16cid:durableId="1210535936">
    <w:abstractNumId w:val="7"/>
  </w:num>
  <w:num w:numId="8" w16cid:durableId="349837853">
    <w:abstractNumId w:val="8"/>
  </w:num>
  <w:num w:numId="9" w16cid:durableId="872812231">
    <w:abstractNumId w:val="4"/>
  </w:num>
  <w:num w:numId="10" w16cid:durableId="1303388530">
    <w:abstractNumId w:val="5"/>
  </w:num>
  <w:num w:numId="11" w16cid:durableId="129023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3B4E"/>
    <w:rsid w:val="0000776B"/>
    <w:rsid w:val="00034AB7"/>
    <w:rsid w:val="000A39F3"/>
    <w:rsid w:val="000A5FCF"/>
    <w:rsid w:val="000D3416"/>
    <w:rsid w:val="00110F37"/>
    <w:rsid w:val="00130CC2"/>
    <w:rsid w:val="00183194"/>
    <w:rsid w:val="00263215"/>
    <w:rsid w:val="002F34C6"/>
    <w:rsid w:val="00335F62"/>
    <w:rsid w:val="003D3ADD"/>
    <w:rsid w:val="003F610E"/>
    <w:rsid w:val="00403DFC"/>
    <w:rsid w:val="00435ABC"/>
    <w:rsid w:val="00441CDC"/>
    <w:rsid w:val="00464ECC"/>
    <w:rsid w:val="0049225F"/>
    <w:rsid w:val="004B471F"/>
    <w:rsid w:val="00522603"/>
    <w:rsid w:val="00531C6F"/>
    <w:rsid w:val="00537F57"/>
    <w:rsid w:val="00544FF8"/>
    <w:rsid w:val="00546B3C"/>
    <w:rsid w:val="00563FEF"/>
    <w:rsid w:val="005B224D"/>
    <w:rsid w:val="00643AE0"/>
    <w:rsid w:val="006505E8"/>
    <w:rsid w:val="00697011"/>
    <w:rsid w:val="006A6BB8"/>
    <w:rsid w:val="006C085D"/>
    <w:rsid w:val="0070568B"/>
    <w:rsid w:val="0073075B"/>
    <w:rsid w:val="0075273F"/>
    <w:rsid w:val="0075613D"/>
    <w:rsid w:val="0079254E"/>
    <w:rsid w:val="007B4FFE"/>
    <w:rsid w:val="00815178"/>
    <w:rsid w:val="00824007"/>
    <w:rsid w:val="00843366"/>
    <w:rsid w:val="009015F7"/>
    <w:rsid w:val="009F49E4"/>
    <w:rsid w:val="00A5208F"/>
    <w:rsid w:val="00A95FB2"/>
    <w:rsid w:val="00B77595"/>
    <w:rsid w:val="00B919AB"/>
    <w:rsid w:val="00C1745D"/>
    <w:rsid w:val="00C35562"/>
    <w:rsid w:val="00C4232E"/>
    <w:rsid w:val="00C76B58"/>
    <w:rsid w:val="00DA32B8"/>
    <w:rsid w:val="00DB68DA"/>
    <w:rsid w:val="00DC49A3"/>
    <w:rsid w:val="00DE2DD5"/>
    <w:rsid w:val="00DF5B61"/>
    <w:rsid w:val="00E12CE0"/>
    <w:rsid w:val="00E21F82"/>
    <w:rsid w:val="00E57B31"/>
    <w:rsid w:val="00E83B3A"/>
    <w:rsid w:val="00EC2009"/>
    <w:rsid w:val="00EF021E"/>
    <w:rsid w:val="00F6263B"/>
    <w:rsid w:val="00F931B1"/>
    <w:rsid w:val="00FB636F"/>
    <w:rsid w:val="00FC5718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2151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63</cp:revision>
  <cp:lastPrinted>2023-12-15T10:46:00Z</cp:lastPrinted>
  <dcterms:created xsi:type="dcterms:W3CDTF">2020-11-12T17:30:00Z</dcterms:created>
  <dcterms:modified xsi:type="dcterms:W3CDTF">2024-09-24T17:54:00Z</dcterms:modified>
</cp:coreProperties>
</file>