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0A" w:rsidRDefault="00FE5C2E" w:rsidP="000C780A">
      <w:pPr>
        <w:jc w:val="center"/>
      </w:pPr>
      <w:r w:rsidRPr="00FE5C2E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0288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0C780A" w:rsidRDefault="000C780A" w:rsidP="000C780A">
                  <w:pPr>
                    <w:widowControl w:val="0"/>
                  </w:pPr>
                </w:p>
                <w:p w:rsidR="000C780A" w:rsidRPr="00657C41" w:rsidRDefault="000C780A" w:rsidP="000C780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 w:rsidRPr="00FE5C2E"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131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0C780A" w:rsidRDefault="000C780A" w:rsidP="000C780A">
                  <w:pPr>
                    <w:widowControl w:val="0"/>
                  </w:pPr>
                </w:p>
                <w:p w:rsidR="000C780A" w:rsidRPr="00657C41" w:rsidRDefault="000C780A" w:rsidP="000C780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0C780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7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5C2E"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233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0C780A" w:rsidRPr="00F306D8" w:rsidRDefault="000C780A" w:rsidP="000C780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0C780A" w:rsidRPr="00B60D23" w:rsidRDefault="000C780A" w:rsidP="000C780A">
      <w:pPr>
        <w:jc w:val="center"/>
      </w:pPr>
    </w:p>
    <w:p w:rsidR="000C780A" w:rsidRPr="00B60D23" w:rsidRDefault="000C780A" w:rsidP="000C780A"/>
    <w:p w:rsidR="000C780A" w:rsidRPr="00866AE2" w:rsidRDefault="00FE5C2E" w:rsidP="000C780A">
      <w:pPr>
        <w:rPr>
          <w:color w:val="FF0000"/>
        </w:rPr>
      </w:pPr>
      <w:r w:rsidRPr="00FE5C2E"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336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0C780A" w:rsidRPr="00657C41" w:rsidRDefault="000C780A" w:rsidP="000C780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0C780A" w:rsidRDefault="000C780A" w:rsidP="000C780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0C780A" w:rsidRPr="00866AE2" w:rsidRDefault="000C780A" w:rsidP="000C780A">
      <w:pPr>
        <w:jc w:val="center"/>
        <w:rPr>
          <w:color w:val="FF0000"/>
        </w:rPr>
      </w:pPr>
    </w:p>
    <w:p w:rsidR="000C780A" w:rsidRPr="00B60D23" w:rsidRDefault="000C780A" w:rsidP="000C780A"/>
    <w:p w:rsidR="000C780A" w:rsidRPr="00B60D23" w:rsidRDefault="000C780A" w:rsidP="000C780A">
      <w:pPr>
        <w:jc w:val="center"/>
      </w:pPr>
    </w:p>
    <w:p w:rsidR="000C780A" w:rsidRPr="00B60D23" w:rsidRDefault="000C780A" w:rsidP="000C780A"/>
    <w:p w:rsidR="000C780A" w:rsidRPr="00B60D23" w:rsidRDefault="000C780A" w:rsidP="000C780A"/>
    <w:p w:rsidR="000C780A" w:rsidRPr="00B60D23" w:rsidRDefault="00FE5C2E" w:rsidP="000C780A">
      <w:r w:rsidRPr="00FE5C2E">
        <w:rPr>
          <w:color w:val="auto"/>
          <w:kern w:val="0"/>
          <w:sz w:val="24"/>
          <w:szCs w:val="24"/>
        </w:rPr>
        <w:pict>
          <v:line id="_x0000_s1030" style="position:absolute;z-index:251664384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0C780A" w:rsidRPr="00B60D23" w:rsidRDefault="000C780A" w:rsidP="000C780A"/>
    <w:p w:rsidR="000C780A" w:rsidRPr="00B60D23" w:rsidRDefault="00FE5C2E" w:rsidP="000C780A">
      <w:r w:rsidRPr="00FE5C2E">
        <w:rPr>
          <w:color w:val="auto"/>
          <w:kern w:val="0"/>
          <w:sz w:val="24"/>
          <w:szCs w:val="24"/>
        </w:rPr>
        <w:pict>
          <v:line id="_x0000_s1031" style="position:absolute;z-index:251665408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0C780A" w:rsidRDefault="000C780A" w:rsidP="000C780A">
      <w:pPr>
        <w:spacing w:line="276" w:lineRule="auto"/>
      </w:pPr>
    </w:p>
    <w:p w:rsidR="005C6F5E" w:rsidRDefault="005C6F5E" w:rsidP="005C6F5E">
      <w:pPr>
        <w:spacing w:line="276" w:lineRule="auto"/>
        <w:rPr>
          <w:b/>
          <w:sz w:val="24"/>
          <w:szCs w:val="24"/>
        </w:rPr>
      </w:pPr>
    </w:p>
    <w:p w:rsidR="002A08BB" w:rsidRPr="0013254D" w:rsidRDefault="002A08BB" w:rsidP="005C6F5E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/17</w:t>
      </w:r>
    </w:p>
    <w:p w:rsidR="002A08BB" w:rsidRPr="0013254D" w:rsidRDefault="002A08BB" w:rsidP="005C6F5E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0C780A" w:rsidRPr="00AA7BB7" w:rsidRDefault="000C780A" w:rsidP="00AA7BB7">
      <w:pPr>
        <w:spacing w:line="276" w:lineRule="auto"/>
        <w:jc w:val="both"/>
        <w:rPr>
          <w:sz w:val="24"/>
          <w:szCs w:val="24"/>
          <w:lang w:val="ro-RO"/>
        </w:rPr>
      </w:pPr>
    </w:p>
    <w:p w:rsidR="00390F72" w:rsidRPr="006A1120" w:rsidRDefault="00390F72" w:rsidP="006A1120">
      <w:pPr>
        <w:spacing w:line="360" w:lineRule="auto"/>
        <w:jc w:val="both"/>
        <w:rPr>
          <w:b/>
          <w:i/>
          <w:sz w:val="24"/>
          <w:szCs w:val="24"/>
        </w:rPr>
      </w:pPr>
      <w:r w:rsidRPr="006A1120">
        <w:rPr>
          <w:b/>
          <w:i/>
          <w:sz w:val="24"/>
          <w:szCs w:val="24"/>
        </w:rPr>
        <w:t xml:space="preserve">Cu privire la examinarea prescripției Inspecției Financiare </w:t>
      </w:r>
    </w:p>
    <w:p w:rsidR="00390F72" w:rsidRPr="006A1120" w:rsidRDefault="00390F72" w:rsidP="006A1120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0C780A" w:rsidRPr="006A1120" w:rsidRDefault="000C780A" w:rsidP="006A1120">
      <w:pPr>
        <w:spacing w:line="360" w:lineRule="auto"/>
        <w:ind w:firstLine="708"/>
        <w:jc w:val="both"/>
        <w:rPr>
          <w:sz w:val="24"/>
          <w:szCs w:val="24"/>
        </w:rPr>
      </w:pPr>
      <w:r w:rsidRPr="006A1120">
        <w:rPr>
          <w:sz w:val="24"/>
          <w:szCs w:val="24"/>
          <w:lang w:val="ro-RO"/>
        </w:rPr>
        <w:t>Avînd în vedere</w:t>
      </w:r>
      <w:r w:rsidRPr="006A1120">
        <w:rPr>
          <w:bCs/>
          <w:sz w:val="24"/>
          <w:szCs w:val="24"/>
        </w:rPr>
        <w:t xml:space="preserve"> </w:t>
      </w:r>
      <w:r w:rsidR="00390F72" w:rsidRPr="006A1120">
        <w:rPr>
          <w:sz w:val="24"/>
          <w:szCs w:val="24"/>
        </w:rPr>
        <w:t>prescripția Inspecției Financiare(nr.27-10-12/791 din 08 iunie 2016</w:t>
      </w:r>
      <w:r w:rsidR="002F1ACB" w:rsidRPr="006A1120">
        <w:rPr>
          <w:sz w:val="24"/>
          <w:szCs w:val="24"/>
        </w:rPr>
        <w:t>)</w:t>
      </w:r>
      <w:r w:rsidRPr="006A1120">
        <w:rPr>
          <w:sz w:val="24"/>
          <w:szCs w:val="24"/>
          <w:lang w:val="ro-RO"/>
        </w:rPr>
        <w:t>, în conformitate cu art.14 al Legii privind administrația publică locală(nr. 436-XVI din 28.12.2006, cu modificările şi completările ulterioare), Consiliul Comunal</w:t>
      </w:r>
    </w:p>
    <w:p w:rsidR="000C780A" w:rsidRPr="006A1120" w:rsidRDefault="000C780A" w:rsidP="006A1120">
      <w:pPr>
        <w:spacing w:line="360" w:lineRule="auto"/>
        <w:ind w:left="3540" w:firstLine="708"/>
        <w:jc w:val="both"/>
        <w:rPr>
          <w:b/>
          <w:sz w:val="24"/>
          <w:szCs w:val="24"/>
          <w:lang w:val="ro-RO"/>
        </w:rPr>
      </w:pPr>
    </w:p>
    <w:p w:rsidR="000C780A" w:rsidRPr="006A1120" w:rsidRDefault="000C780A" w:rsidP="00701E8B">
      <w:pPr>
        <w:spacing w:line="360" w:lineRule="auto"/>
        <w:ind w:left="3540" w:firstLine="708"/>
        <w:jc w:val="both"/>
        <w:rPr>
          <w:b/>
          <w:sz w:val="24"/>
          <w:szCs w:val="24"/>
        </w:rPr>
      </w:pPr>
      <w:r w:rsidRPr="006A1120">
        <w:rPr>
          <w:b/>
          <w:sz w:val="24"/>
          <w:szCs w:val="24"/>
        </w:rPr>
        <w:t>DECIDE:</w:t>
      </w:r>
      <w:bookmarkStart w:id="0" w:name="_GoBack"/>
      <w:bookmarkEnd w:id="0"/>
    </w:p>
    <w:p w:rsidR="003079E5" w:rsidRDefault="005C6F5E" w:rsidP="003079E5">
      <w:pPr>
        <w:pStyle w:val="a3"/>
        <w:numPr>
          <w:ilvl w:val="0"/>
          <w:numId w:val="1"/>
        </w:numPr>
        <w:spacing w:line="360" w:lineRule="auto"/>
        <w:jc w:val="both"/>
      </w:pPr>
      <w:r w:rsidRPr="006A1120">
        <w:rPr>
          <w:bCs/>
        </w:rPr>
        <w:t xml:space="preserve">A </w:t>
      </w:r>
      <w:r w:rsidR="00390F72" w:rsidRPr="006A1120">
        <w:rPr>
          <w:bCs/>
        </w:rPr>
        <w:t xml:space="preserve"> pune în discuție </w:t>
      </w:r>
      <w:r w:rsidR="00390F72" w:rsidRPr="006A1120">
        <w:t>prescripția Inspecției Financiare nr.27-10-12/791 din 08 iunie 2016</w:t>
      </w:r>
      <w:r w:rsidR="002F1ACB" w:rsidRPr="006A1120">
        <w:t xml:space="preserve">.               </w:t>
      </w:r>
    </w:p>
    <w:p w:rsidR="003079E5" w:rsidRDefault="003079E5" w:rsidP="006A1120">
      <w:pPr>
        <w:pStyle w:val="a3"/>
        <w:numPr>
          <w:ilvl w:val="0"/>
          <w:numId w:val="1"/>
        </w:numPr>
        <w:spacing w:line="360" w:lineRule="auto"/>
        <w:jc w:val="both"/>
      </w:pPr>
      <w:r>
        <w:t>A</w:t>
      </w:r>
      <w:r w:rsidR="00701E8B">
        <w:t xml:space="preserve"> nu se restitui cheltuielile neregulamentare în sumă de 132,5 mii lei de către contabilul Primăriei, dna Petrașcu Aliona.</w:t>
      </w:r>
    </w:p>
    <w:p w:rsidR="000C780A" w:rsidRDefault="00B96874" w:rsidP="006A1120">
      <w:pPr>
        <w:pStyle w:val="a3"/>
        <w:numPr>
          <w:ilvl w:val="0"/>
          <w:numId w:val="1"/>
        </w:numPr>
        <w:spacing w:line="360" w:lineRule="auto"/>
        <w:jc w:val="both"/>
      </w:pPr>
      <w:r w:rsidRPr="006A1120">
        <w:t>A</w:t>
      </w:r>
      <w:r w:rsidR="005C6F5E" w:rsidRPr="006A1120">
        <w:t xml:space="preserve"> </w:t>
      </w:r>
      <w:r w:rsidR="006A1120" w:rsidRPr="006A1120">
        <w:t xml:space="preserve">fi </w:t>
      </w:r>
      <w:r w:rsidR="005C6F5E" w:rsidRPr="006A1120">
        <w:t>lua</w:t>
      </w:r>
      <w:r w:rsidR="006A1120" w:rsidRPr="006A1120">
        <w:t>te</w:t>
      </w:r>
      <w:r w:rsidR="00390F72" w:rsidRPr="006A1120">
        <w:t xml:space="preserve"> măsurile corespunzătoare </w:t>
      </w:r>
      <w:r w:rsidR="005C6F5E" w:rsidRPr="006A1120">
        <w:t>de informare</w:t>
      </w:r>
      <w:r w:rsidR="006A1120" w:rsidRPr="006A1120">
        <w:t xml:space="preserve"> a funcționarilor publici din cadrul Primăriei comunei Boșcana,</w:t>
      </w:r>
      <w:r w:rsidR="005C6F5E" w:rsidRPr="006A1120">
        <w:t xml:space="preserve"> </w:t>
      </w:r>
      <w:r w:rsidR="00390F72" w:rsidRPr="006A1120">
        <w:t>în</w:t>
      </w:r>
      <w:r w:rsidR="00AA7BB7" w:rsidRPr="006A1120">
        <w:t xml:space="preserve"> vederea lichidării încălcărilor și neajunsurilor depistate și reflectate în actul inspectării financiare</w:t>
      </w:r>
      <w:r w:rsidR="005C6F5E" w:rsidRPr="006A1120">
        <w:t xml:space="preserve"> </w:t>
      </w:r>
      <w:r w:rsidRPr="006A1120">
        <w:t xml:space="preserve">în scopul prevenirii acestora </w:t>
      </w:r>
      <w:r w:rsidR="005C6F5E" w:rsidRPr="006A1120">
        <w:t>pe viitor</w:t>
      </w:r>
      <w:r w:rsidR="000C0E21">
        <w:t>, prin asigurarea respectării de către persoanele implicate în managementul financiar a prevederilor:</w:t>
      </w:r>
    </w:p>
    <w:p w:rsidR="000C0E21" w:rsidRDefault="000C0E21" w:rsidP="000C0E21">
      <w:pPr>
        <w:pStyle w:val="a3"/>
        <w:numPr>
          <w:ilvl w:val="0"/>
          <w:numId w:val="3"/>
        </w:numPr>
        <w:spacing w:line="360" w:lineRule="auto"/>
        <w:jc w:val="both"/>
      </w:pPr>
      <w:r>
        <w:t>Legii cu privire la func</w:t>
      </w:r>
      <w:r>
        <w:rPr>
          <w:lang w:val="ro-RO"/>
        </w:rPr>
        <w:t>ția publică și statutul funcționarului public nr. 158-XVI din 04.07.2008</w:t>
      </w:r>
      <w:r>
        <w:t>;</w:t>
      </w:r>
    </w:p>
    <w:p w:rsidR="000C0E21" w:rsidRDefault="000C0E21" w:rsidP="000C0E21">
      <w:pPr>
        <w:pStyle w:val="a3"/>
        <w:numPr>
          <w:ilvl w:val="0"/>
          <w:numId w:val="3"/>
        </w:numPr>
        <w:spacing w:line="360" w:lineRule="auto"/>
        <w:jc w:val="both"/>
      </w:pPr>
      <w:r w:rsidRPr="006A1120">
        <w:rPr>
          <w:lang w:val="ro-RO"/>
        </w:rPr>
        <w:t>Legii privi</w:t>
      </w:r>
      <w:r>
        <w:rPr>
          <w:lang w:val="ro-RO"/>
        </w:rPr>
        <w:t xml:space="preserve">nd administrația publică locală  </w:t>
      </w:r>
      <w:r w:rsidRPr="006A1120">
        <w:rPr>
          <w:lang w:val="ro-RO"/>
        </w:rPr>
        <w:t>nr. 436-XVI din 28.12.2006</w:t>
      </w:r>
      <w:r>
        <w:t>;</w:t>
      </w:r>
    </w:p>
    <w:p w:rsidR="000C0E21" w:rsidRPr="000C0E21" w:rsidRDefault="000C0E21" w:rsidP="000C0E21">
      <w:pPr>
        <w:pStyle w:val="a3"/>
        <w:numPr>
          <w:ilvl w:val="0"/>
          <w:numId w:val="3"/>
        </w:numPr>
        <w:spacing w:line="360" w:lineRule="auto"/>
        <w:jc w:val="both"/>
      </w:pPr>
      <w:r>
        <w:t>Regulamentul cu privire la ocuparea func</w:t>
      </w:r>
      <w:r>
        <w:rPr>
          <w:lang w:val="ro-RO"/>
        </w:rPr>
        <w:t>ției publice prin concurs, aprobat prin Hotărîrea Guvernului nr. 201 din 11.03.2009.</w:t>
      </w:r>
    </w:p>
    <w:p w:rsidR="00D5650B" w:rsidRPr="00701E8B" w:rsidRDefault="000C0E21" w:rsidP="00701E8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0C0E21">
        <w:t xml:space="preserve">Un exemplar al prezentei decizii se remite </w:t>
      </w:r>
      <w:r>
        <w:t>Inspecției Financiare</w:t>
      </w:r>
      <w:r w:rsidR="00D5650B">
        <w:t>.</w:t>
      </w:r>
    </w:p>
    <w:p w:rsidR="000C780A" w:rsidRPr="00D5650B" w:rsidRDefault="00392918" w:rsidP="00D5650B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6A1120" w:rsidRPr="006A1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</w:p>
    <w:p w:rsidR="000C780A" w:rsidRPr="006A1120" w:rsidRDefault="000C780A" w:rsidP="006A1120">
      <w:pPr>
        <w:spacing w:line="360" w:lineRule="auto"/>
        <w:rPr>
          <w:b/>
          <w:sz w:val="24"/>
          <w:szCs w:val="24"/>
          <w:lang w:val="ro-RO"/>
        </w:rPr>
      </w:pPr>
      <w:r w:rsidRPr="006A1120">
        <w:rPr>
          <w:b/>
          <w:sz w:val="24"/>
          <w:szCs w:val="24"/>
          <w:lang w:val="ro-RO"/>
        </w:rPr>
        <w:t xml:space="preserve">                 Preşedintele şedinţei,                                </w:t>
      </w:r>
      <w:r w:rsidR="00B96874" w:rsidRPr="006A1120">
        <w:rPr>
          <w:b/>
          <w:sz w:val="24"/>
          <w:szCs w:val="24"/>
          <w:lang w:val="ro-RO"/>
        </w:rPr>
        <w:t xml:space="preserve">                               Prunici Tudor</w:t>
      </w:r>
      <w:r w:rsidRPr="006A1120">
        <w:rPr>
          <w:b/>
          <w:sz w:val="24"/>
          <w:szCs w:val="24"/>
          <w:lang w:val="ro-RO"/>
        </w:rPr>
        <w:t xml:space="preserve">                                   </w:t>
      </w:r>
    </w:p>
    <w:p w:rsidR="00701E8B" w:rsidRDefault="000C780A" w:rsidP="000C780A">
      <w:pPr>
        <w:spacing w:line="360" w:lineRule="auto"/>
        <w:rPr>
          <w:b/>
          <w:sz w:val="24"/>
          <w:szCs w:val="24"/>
          <w:lang w:val="ro-RO"/>
        </w:rPr>
      </w:pPr>
      <w:r w:rsidRPr="006A1120">
        <w:rPr>
          <w:b/>
          <w:sz w:val="24"/>
          <w:szCs w:val="24"/>
          <w:lang w:val="ro-RO"/>
        </w:rPr>
        <w:t xml:space="preserve">               </w:t>
      </w:r>
    </w:p>
    <w:p w:rsidR="00986FA8" w:rsidRPr="00390F72" w:rsidRDefault="00701E8B" w:rsidP="000C780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 xml:space="preserve">               </w:t>
      </w:r>
      <w:r w:rsidR="000C780A" w:rsidRPr="006A1120">
        <w:rPr>
          <w:b/>
          <w:sz w:val="24"/>
          <w:szCs w:val="24"/>
          <w:lang w:val="ro-RO"/>
        </w:rPr>
        <w:t xml:space="preserve">  Secretarul consiliului,                                                              Sîrbu Viorica</w:t>
      </w:r>
    </w:p>
    <w:sectPr w:rsidR="00986FA8" w:rsidRPr="00390F72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5B9" w:rsidRDefault="006435B9" w:rsidP="00771153">
      <w:r>
        <w:separator/>
      </w:r>
    </w:p>
  </w:endnote>
  <w:endnote w:type="continuationSeparator" w:id="0">
    <w:p w:rsidR="006435B9" w:rsidRDefault="006435B9" w:rsidP="00771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149485"/>
      <w:docPartObj>
        <w:docPartGallery w:val="Page Numbers (Bottom of Page)"/>
        <w:docPartUnique/>
      </w:docPartObj>
    </w:sdtPr>
    <w:sdtContent>
      <w:p w:rsidR="00771153" w:rsidRDefault="00FE5C2E">
        <w:pPr>
          <w:pStyle w:val="a6"/>
          <w:jc w:val="center"/>
        </w:pPr>
        <w:r>
          <w:fldChar w:fldCharType="begin"/>
        </w:r>
        <w:r w:rsidR="006A1120">
          <w:instrText xml:space="preserve"> PAGE   \* MERGEFORMAT </w:instrText>
        </w:r>
        <w:r>
          <w:fldChar w:fldCharType="separate"/>
        </w:r>
        <w:r w:rsidR="00701E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1153" w:rsidRDefault="007711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5B9" w:rsidRDefault="006435B9" w:rsidP="00771153">
      <w:r>
        <w:separator/>
      </w:r>
    </w:p>
  </w:footnote>
  <w:footnote w:type="continuationSeparator" w:id="0">
    <w:p w:rsidR="006435B9" w:rsidRDefault="006435B9" w:rsidP="00771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D93"/>
    <w:multiLevelType w:val="hybridMultilevel"/>
    <w:tmpl w:val="BB786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F00AA"/>
    <w:multiLevelType w:val="hybridMultilevel"/>
    <w:tmpl w:val="718EEE0C"/>
    <w:lvl w:ilvl="0" w:tplc="E0888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A52AEB"/>
    <w:multiLevelType w:val="hybridMultilevel"/>
    <w:tmpl w:val="103ADA24"/>
    <w:lvl w:ilvl="0" w:tplc="AE9885D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D5FDA"/>
    <w:multiLevelType w:val="hybridMultilevel"/>
    <w:tmpl w:val="B4DE298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4F3541"/>
    <w:multiLevelType w:val="hybridMultilevel"/>
    <w:tmpl w:val="6A407570"/>
    <w:lvl w:ilvl="0" w:tplc="6B004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80A"/>
    <w:rsid w:val="0006325C"/>
    <w:rsid w:val="00076552"/>
    <w:rsid w:val="000C0E21"/>
    <w:rsid w:val="000C780A"/>
    <w:rsid w:val="0018009D"/>
    <w:rsid w:val="001D35B8"/>
    <w:rsid w:val="002817FB"/>
    <w:rsid w:val="00283A21"/>
    <w:rsid w:val="002A08BB"/>
    <w:rsid w:val="002F1ACB"/>
    <w:rsid w:val="003079E5"/>
    <w:rsid w:val="00390F72"/>
    <w:rsid w:val="00392918"/>
    <w:rsid w:val="003D5E33"/>
    <w:rsid w:val="00463255"/>
    <w:rsid w:val="004733C6"/>
    <w:rsid w:val="005C6F5E"/>
    <w:rsid w:val="006378CC"/>
    <w:rsid w:val="006435B9"/>
    <w:rsid w:val="006A1120"/>
    <w:rsid w:val="006C0D3F"/>
    <w:rsid w:val="00701E8B"/>
    <w:rsid w:val="00732E3F"/>
    <w:rsid w:val="00771153"/>
    <w:rsid w:val="00846F86"/>
    <w:rsid w:val="008C5DF5"/>
    <w:rsid w:val="00947105"/>
    <w:rsid w:val="00986FA8"/>
    <w:rsid w:val="009D60E0"/>
    <w:rsid w:val="00AA7BB7"/>
    <w:rsid w:val="00B96874"/>
    <w:rsid w:val="00BC676B"/>
    <w:rsid w:val="00C054F4"/>
    <w:rsid w:val="00C165B9"/>
    <w:rsid w:val="00D5650B"/>
    <w:rsid w:val="00FA72F5"/>
    <w:rsid w:val="00FE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0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0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711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115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7711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115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3929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Демонстрационная версия</cp:lastModifiedBy>
  <cp:revision>18</cp:revision>
  <cp:lastPrinted>2016-09-01T06:31:00Z</cp:lastPrinted>
  <dcterms:created xsi:type="dcterms:W3CDTF">2016-07-10T20:55:00Z</dcterms:created>
  <dcterms:modified xsi:type="dcterms:W3CDTF">2016-09-01T06:36:00Z</dcterms:modified>
</cp:coreProperties>
</file>