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38"/>
        <w:tblW w:w="9992" w:type="dxa"/>
        <w:tblLayout w:type="fixed"/>
        <w:tblLook w:val="04A0" w:firstRow="1" w:lastRow="0" w:firstColumn="1" w:lastColumn="0" w:noHBand="0" w:noVBand="1"/>
      </w:tblPr>
      <w:tblGrid>
        <w:gridCol w:w="3936"/>
        <w:gridCol w:w="1967"/>
        <w:gridCol w:w="4089"/>
      </w:tblGrid>
      <w:tr w:rsidR="00634497" w:rsidTr="00E45FEF">
        <w:trPr>
          <w:trHeight w:val="866"/>
        </w:trPr>
        <w:tc>
          <w:tcPr>
            <w:tcW w:w="3936" w:type="dxa"/>
          </w:tcPr>
          <w:p w:rsidR="00634497" w:rsidRPr="00EC7249" w:rsidRDefault="00634497" w:rsidP="00E45FEF">
            <w:pPr>
              <w:pStyle w:val="5"/>
              <w:rPr>
                <w:rFonts w:eastAsiaTheme="minorEastAsia"/>
                <w:i w:val="0"/>
                <w:sz w:val="28"/>
                <w:szCs w:val="28"/>
                <w:lang w:val="en-GB"/>
              </w:rPr>
            </w:pPr>
            <w:r>
              <w:rPr>
                <w:rFonts w:eastAsiaTheme="minorEastAsia"/>
                <w:i w:val="0"/>
                <w:sz w:val="28"/>
                <w:szCs w:val="28"/>
                <w:lang w:val="en-GB"/>
              </w:rPr>
              <w:t>REPUBLICA MOLDOVA</w:t>
            </w:r>
          </w:p>
          <w:p w:rsidR="00634497" w:rsidRDefault="00634497" w:rsidP="00E45FEF">
            <w:pPr>
              <w:jc w:val="center"/>
              <w:rPr>
                <w:b/>
                <w:sz w:val="28"/>
                <w:szCs w:val="28"/>
              </w:rPr>
            </w:pPr>
            <w:r>
              <w:rPr>
                <w:b/>
                <w:sz w:val="28"/>
                <w:szCs w:val="28"/>
              </w:rPr>
              <w:t>RAIONUL FĂLEŞTI</w:t>
            </w:r>
          </w:p>
          <w:p w:rsidR="00634497" w:rsidRDefault="00634497" w:rsidP="00E45FEF">
            <w:pPr>
              <w:jc w:val="center"/>
              <w:rPr>
                <w:b/>
                <w:sz w:val="28"/>
                <w:szCs w:val="28"/>
              </w:rPr>
            </w:pPr>
            <w:r>
              <w:rPr>
                <w:b/>
                <w:sz w:val="28"/>
                <w:szCs w:val="28"/>
              </w:rPr>
              <w:t>PRIMĂRIA ILENUŢA</w:t>
            </w:r>
          </w:p>
          <w:p w:rsidR="00634497" w:rsidRPr="00A2488D" w:rsidRDefault="00634497" w:rsidP="00E45FEF">
            <w:pPr>
              <w:jc w:val="center"/>
              <w:rPr>
                <w:sz w:val="28"/>
                <w:szCs w:val="28"/>
              </w:rPr>
            </w:pPr>
            <w:hyperlink r:id="rId5" w:history="1">
              <w:r w:rsidRPr="00A2488D">
                <w:rPr>
                  <w:rStyle w:val="a3"/>
                  <w:sz w:val="28"/>
                  <w:szCs w:val="28"/>
                </w:rPr>
                <w:t>tel:68-2-36</w:t>
              </w:r>
            </w:hyperlink>
          </w:p>
          <w:p w:rsidR="00634497" w:rsidRPr="00F64D46" w:rsidRDefault="00634497" w:rsidP="00E45FEF">
            <w:pPr>
              <w:jc w:val="center"/>
            </w:pPr>
            <w:r w:rsidRPr="00A2488D">
              <w:rPr>
                <w:sz w:val="22"/>
              </w:rPr>
              <w:t>E-mail:primaria.ilenuta@mail.ru</w:t>
            </w:r>
          </w:p>
          <w:p w:rsidR="00634497" w:rsidRPr="00A2488D" w:rsidRDefault="00634497" w:rsidP="00E45FEF">
            <w:pPr>
              <w:jc w:val="right"/>
              <w:rPr>
                <w:sz w:val="28"/>
                <w:szCs w:val="28"/>
              </w:rPr>
            </w:pPr>
          </w:p>
        </w:tc>
        <w:tc>
          <w:tcPr>
            <w:tcW w:w="1967" w:type="dxa"/>
            <w:hideMark/>
          </w:tcPr>
          <w:p w:rsidR="00634497" w:rsidRDefault="00634497" w:rsidP="00E45FEF">
            <w:pPr>
              <w:jc w:val="center"/>
              <w:rPr>
                <w:sz w:val="28"/>
                <w:szCs w:val="28"/>
              </w:rPr>
            </w:pPr>
            <w:r>
              <w:rPr>
                <w:noProof/>
                <w:sz w:val="28"/>
                <w:szCs w:val="28"/>
                <w:lang w:val="ru-RU" w:eastAsia="ru-RU"/>
              </w:rPr>
              <w:drawing>
                <wp:inline distT="0" distB="0" distL="0" distR="0" wp14:anchorId="6DC59EE4" wp14:editId="516D8737">
                  <wp:extent cx="733425" cy="68580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4024" r="6079"/>
                          <a:stretch>
                            <a:fillRect/>
                          </a:stretch>
                        </pic:blipFill>
                        <pic:spPr bwMode="auto">
                          <a:xfrm>
                            <a:off x="0" y="0"/>
                            <a:ext cx="733425" cy="685800"/>
                          </a:xfrm>
                          <a:prstGeom prst="rect">
                            <a:avLst/>
                          </a:prstGeom>
                          <a:noFill/>
                          <a:ln w="9525">
                            <a:noFill/>
                            <a:miter lim="800000"/>
                            <a:headEnd/>
                            <a:tailEnd/>
                          </a:ln>
                        </pic:spPr>
                      </pic:pic>
                    </a:graphicData>
                  </a:graphic>
                </wp:inline>
              </w:drawing>
            </w:r>
          </w:p>
        </w:tc>
        <w:tc>
          <w:tcPr>
            <w:tcW w:w="4089" w:type="dxa"/>
          </w:tcPr>
          <w:p w:rsidR="00634497" w:rsidRDefault="00634497" w:rsidP="00E45FEF">
            <w:pPr>
              <w:pStyle w:val="5"/>
              <w:jc w:val="center"/>
              <w:rPr>
                <w:rFonts w:eastAsiaTheme="minorEastAsia"/>
                <w:i w:val="0"/>
                <w:sz w:val="28"/>
                <w:szCs w:val="28"/>
                <w:lang w:val="ro-RO"/>
              </w:rPr>
            </w:pPr>
            <w:r>
              <w:rPr>
                <w:rFonts w:eastAsiaTheme="minorEastAsia"/>
                <w:i w:val="0"/>
                <w:sz w:val="28"/>
                <w:szCs w:val="28"/>
                <w:lang w:val="ro-RO"/>
              </w:rPr>
              <w:t>РЕСПУБЛИКА МОЛДОВА</w:t>
            </w:r>
          </w:p>
          <w:p w:rsidR="00634497" w:rsidRDefault="00634497" w:rsidP="00E45FEF">
            <w:pPr>
              <w:pStyle w:val="3"/>
              <w:rPr>
                <w:b/>
                <w:sz w:val="28"/>
                <w:szCs w:val="28"/>
              </w:rPr>
            </w:pPr>
            <w:r>
              <w:rPr>
                <w:b/>
                <w:sz w:val="28"/>
                <w:szCs w:val="28"/>
              </w:rPr>
              <w:t>ФАЛЕШТСКИЙ РАЙОН</w:t>
            </w:r>
          </w:p>
          <w:p w:rsidR="00634497" w:rsidRDefault="00634497" w:rsidP="00E45FEF">
            <w:pPr>
              <w:pStyle w:val="3"/>
              <w:rPr>
                <w:b/>
              </w:rPr>
            </w:pPr>
            <w:r>
              <w:rPr>
                <w:b/>
              </w:rPr>
              <w:t>ПРИМЭРИЯ ИЛЕНУЦА</w:t>
            </w:r>
          </w:p>
          <w:p w:rsidR="00634497" w:rsidRDefault="00634497" w:rsidP="00E45FEF">
            <w:pPr>
              <w:pStyle w:val="3"/>
            </w:pPr>
            <w:r>
              <w:t>тел.68-2-36</w:t>
            </w:r>
          </w:p>
          <w:p w:rsidR="00634497" w:rsidRDefault="00634497" w:rsidP="00E45FEF">
            <w:pPr>
              <w:jc w:val="center"/>
            </w:pPr>
          </w:p>
          <w:p w:rsidR="00634497" w:rsidRDefault="00634497" w:rsidP="00E45FEF">
            <w:pPr>
              <w:jc w:val="center"/>
            </w:pPr>
          </w:p>
        </w:tc>
      </w:tr>
    </w:tbl>
    <w:p w:rsidR="00634497" w:rsidRPr="00F64D46" w:rsidRDefault="00634497" w:rsidP="00634497">
      <w:pPr>
        <w:rPr>
          <w:sz w:val="28"/>
          <w:szCs w:val="28"/>
          <w:lang w:val="en-US"/>
        </w:rPr>
      </w:pPr>
    </w:p>
    <w:p w:rsidR="00634497" w:rsidRDefault="00634497" w:rsidP="00634497">
      <w:pPr>
        <w:jc w:val="right"/>
        <w:rPr>
          <w:sz w:val="28"/>
          <w:szCs w:val="28"/>
          <w:lang w:val="en-US"/>
        </w:rPr>
      </w:pPr>
      <w:r>
        <w:rPr>
          <w:sz w:val="28"/>
          <w:szCs w:val="28"/>
          <w:lang w:val="en-US"/>
        </w:rPr>
        <w:t>Nr.11/1</w:t>
      </w:r>
    </w:p>
    <w:p w:rsidR="00634497" w:rsidRPr="000E0AAD" w:rsidRDefault="00634497" w:rsidP="00634497">
      <w:pPr>
        <w:jc w:val="center"/>
        <w:rPr>
          <w:b/>
          <w:sz w:val="28"/>
          <w:szCs w:val="28"/>
          <w:lang w:val="en-US"/>
        </w:rPr>
      </w:pPr>
      <w:r w:rsidRPr="000E0AAD">
        <w:rPr>
          <w:b/>
          <w:sz w:val="28"/>
          <w:szCs w:val="28"/>
          <w:lang w:val="en-US"/>
        </w:rPr>
        <w:t>DECI</w:t>
      </w:r>
      <w:r w:rsidRPr="000E0AAD">
        <w:rPr>
          <w:b/>
          <w:sz w:val="28"/>
          <w:szCs w:val="28"/>
        </w:rPr>
        <w:t>Z</w:t>
      </w:r>
      <w:r w:rsidRPr="000E0AAD">
        <w:rPr>
          <w:b/>
          <w:sz w:val="28"/>
          <w:szCs w:val="28"/>
          <w:lang w:val="en-US"/>
        </w:rPr>
        <w:t>IE</w:t>
      </w:r>
    </w:p>
    <w:p w:rsidR="00634497" w:rsidRPr="00F64D46" w:rsidRDefault="00634497" w:rsidP="00634497">
      <w:pPr>
        <w:rPr>
          <w:sz w:val="28"/>
          <w:szCs w:val="28"/>
          <w:lang w:val="en-US"/>
        </w:rPr>
      </w:pPr>
      <w:r>
        <w:rPr>
          <w:sz w:val="28"/>
          <w:szCs w:val="28"/>
          <w:lang w:val="en-US"/>
        </w:rPr>
        <w:t xml:space="preserve">19.12.2016                      </w:t>
      </w:r>
    </w:p>
    <w:p w:rsidR="00634497" w:rsidRDefault="00634497" w:rsidP="00634497">
      <w:pPr>
        <w:rPr>
          <w:sz w:val="28"/>
          <w:szCs w:val="28"/>
          <w:lang w:val="en-US"/>
        </w:rPr>
      </w:pPr>
    </w:p>
    <w:p w:rsidR="00634497" w:rsidRDefault="00634497" w:rsidP="00634497">
      <w:pPr>
        <w:rPr>
          <w:b/>
          <w:sz w:val="28"/>
          <w:szCs w:val="28"/>
          <w:lang w:val="en-US"/>
        </w:rPr>
      </w:pPr>
      <w:r>
        <w:rPr>
          <w:b/>
          <w:sz w:val="28"/>
          <w:szCs w:val="28"/>
          <w:lang w:val="en-US"/>
        </w:rPr>
        <w:t>Cu   privire la aprobarea bugetului</w:t>
      </w:r>
    </w:p>
    <w:p w:rsidR="00634497" w:rsidRDefault="00634497" w:rsidP="00634497">
      <w:pPr>
        <w:rPr>
          <w:sz w:val="28"/>
          <w:szCs w:val="28"/>
          <w:lang w:val="en-US"/>
        </w:rPr>
      </w:pPr>
      <w:r>
        <w:rPr>
          <w:b/>
          <w:sz w:val="28"/>
          <w:szCs w:val="28"/>
          <w:lang w:val="en-US"/>
        </w:rPr>
        <w:t>pe anul 2017  în a doua  lectură</w:t>
      </w:r>
    </w:p>
    <w:p w:rsidR="00634497" w:rsidRPr="008C0EE0" w:rsidRDefault="00634497" w:rsidP="00634497">
      <w:pPr>
        <w:rPr>
          <w:b/>
          <w:szCs w:val="24"/>
          <w:lang w:val="en-US"/>
        </w:rPr>
      </w:pPr>
      <w:r w:rsidRPr="008C0EE0">
        <w:rPr>
          <w:szCs w:val="24"/>
        </w:rPr>
        <w:t xml:space="preserve"> În temeiul art.14(2) lit.(n),art.43(1) lit.(b) al Legii nr.436 din 28.12.2006 privind administraţia publică locală,, art.21 al Legii privind finanţele publice locale nr.397-XV din 16.10.2003, cu modificările şi completările ulterioare, Legea nr.68 din 05.04.2012 pentru aprobarea Strategiei Naţionale de Descentralizare (SND) ,în conformitate cu prevederile Legii nr.847-XIII din 24.05.1996 privind sistemul bugetar şi procesul bugetar ,</w:t>
      </w:r>
      <w:r w:rsidRPr="008C0EE0">
        <w:rPr>
          <w:b/>
          <w:szCs w:val="24"/>
        </w:rPr>
        <w:t>Consiliul local</w:t>
      </w:r>
      <w:r w:rsidRPr="008C0EE0">
        <w:rPr>
          <w:b/>
          <w:szCs w:val="24"/>
          <w:lang w:val="en-US"/>
        </w:rPr>
        <w:t>:</w:t>
      </w:r>
    </w:p>
    <w:p w:rsidR="00634497" w:rsidRPr="00CC6A08" w:rsidRDefault="00634497" w:rsidP="00634497">
      <w:pPr>
        <w:jc w:val="center"/>
        <w:rPr>
          <w:b/>
        </w:rPr>
      </w:pPr>
      <w:r w:rsidRPr="00CC6A08">
        <w:rPr>
          <w:b/>
        </w:rPr>
        <w:t>D</w:t>
      </w:r>
      <w:r>
        <w:rPr>
          <w:b/>
        </w:rPr>
        <w:t xml:space="preserve"> </w:t>
      </w:r>
      <w:r w:rsidRPr="00CC6A08">
        <w:rPr>
          <w:b/>
        </w:rPr>
        <w:t>E</w:t>
      </w:r>
      <w:r>
        <w:rPr>
          <w:b/>
        </w:rPr>
        <w:t xml:space="preserve"> </w:t>
      </w:r>
      <w:r w:rsidRPr="00CC6A08">
        <w:rPr>
          <w:b/>
        </w:rPr>
        <w:t>C</w:t>
      </w:r>
      <w:r>
        <w:rPr>
          <w:b/>
        </w:rPr>
        <w:t xml:space="preserve"> </w:t>
      </w:r>
      <w:r w:rsidRPr="00CC6A08">
        <w:rPr>
          <w:b/>
        </w:rPr>
        <w:t>I</w:t>
      </w:r>
      <w:r>
        <w:rPr>
          <w:b/>
        </w:rPr>
        <w:t xml:space="preserve"> </w:t>
      </w:r>
      <w:r w:rsidRPr="00CC6A08">
        <w:rPr>
          <w:b/>
        </w:rPr>
        <w:t>D</w:t>
      </w:r>
      <w:r>
        <w:rPr>
          <w:b/>
        </w:rPr>
        <w:t xml:space="preserve"> </w:t>
      </w:r>
      <w:r w:rsidRPr="00CC6A08">
        <w:rPr>
          <w:b/>
        </w:rPr>
        <w:t>E</w:t>
      </w:r>
      <w:r>
        <w:rPr>
          <w:b/>
        </w:rPr>
        <w:t xml:space="preserve"> </w:t>
      </w:r>
      <w:r w:rsidRPr="00CC6A08">
        <w:rPr>
          <w:b/>
        </w:rPr>
        <w:t>:</w:t>
      </w:r>
    </w:p>
    <w:p w:rsidR="00634497" w:rsidRPr="00F5669A" w:rsidRDefault="00634497" w:rsidP="00634497">
      <w:pPr>
        <w:rPr>
          <w:lang w:val="en-US"/>
        </w:rPr>
      </w:pPr>
      <w:r w:rsidRPr="00F5669A">
        <w:rPr>
          <w:lang w:val="en-US"/>
        </w:rPr>
        <w:t xml:space="preserve">1.Se aprobă </w:t>
      </w:r>
      <w:r>
        <w:t xml:space="preserve">în a doua lectură proiectul </w:t>
      </w:r>
      <w:r w:rsidRPr="00F5669A">
        <w:rPr>
          <w:lang w:val="en-US"/>
        </w:rPr>
        <w:t>bug</w:t>
      </w:r>
      <w:r>
        <w:rPr>
          <w:lang w:val="en-US"/>
        </w:rPr>
        <w:t>etului s.Ilenuţa pentru anul  2017</w:t>
      </w:r>
      <w:r w:rsidRPr="00F5669A">
        <w:rPr>
          <w:lang w:val="en-US"/>
        </w:rPr>
        <w:t xml:space="preserve">  la venituri în sumă </w:t>
      </w:r>
      <w:r>
        <w:rPr>
          <w:lang w:val="en-US"/>
        </w:rPr>
        <w:t>totală  de 2122,7 mii lei,inclusiv</w:t>
      </w:r>
      <w:r w:rsidRPr="00F5669A">
        <w:rPr>
          <w:lang w:val="en-US"/>
        </w:rPr>
        <w:t>:</w:t>
      </w:r>
    </w:p>
    <w:p w:rsidR="00634497" w:rsidRPr="00CC6A08" w:rsidRDefault="00634497" w:rsidP="00634497">
      <w:r w:rsidRPr="00CC6A08">
        <w:t xml:space="preserve">Mijloace </w:t>
      </w:r>
      <w:r>
        <w:t>colectate - 110,6</w:t>
      </w:r>
      <w:r w:rsidRPr="00CC6A08">
        <w:t xml:space="preserve"> mii lei </w:t>
      </w:r>
    </w:p>
    <w:p w:rsidR="00634497" w:rsidRPr="00CC6A08" w:rsidRDefault="00634497" w:rsidP="00634497">
      <w:r w:rsidRPr="00CC6A08">
        <w:t>Transfe</w:t>
      </w:r>
      <w:r>
        <w:t>rturi cu destinaţie specială-1037</w:t>
      </w:r>
      <w:r w:rsidRPr="00CC6A08">
        <w:t>,</w:t>
      </w:r>
      <w:r>
        <w:t>3</w:t>
      </w:r>
      <w:r w:rsidRPr="00CC6A08">
        <w:t xml:space="preserve"> mii lei.</w:t>
      </w:r>
    </w:p>
    <w:p w:rsidR="00634497" w:rsidRPr="00CC6A08" w:rsidRDefault="00634497" w:rsidP="00634497">
      <w:r w:rsidRPr="00CC6A08">
        <w:t>Transfeturi cu destinaţie generală -</w:t>
      </w:r>
      <w:r>
        <w:t>541,8</w:t>
      </w:r>
      <w:r w:rsidRPr="00CC6A08">
        <w:t xml:space="preserve"> mii lei.</w:t>
      </w:r>
    </w:p>
    <w:p w:rsidR="00634497" w:rsidRPr="00CC6A08" w:rsidRDefault="00634497" w:rsidP="00634497">
      <w:r>
        <w:t>Venituri proprii -543,6</w:t>
      </w:r>
      <w:r w:rsidRPr="00CC6A08">
        <w:t xml:space="preserve"> mii lei. </w:t>
      </w:r>
    </w:p>
    <w:p w:rsidR="00634497" w:rsidRDefault="00634497" w:rsidP="00634497">
      <w:r w:rsidRPr="00CC6A08">
        <w:t>Cheltuieli în sumă totală</w:t>
      </w:r>
      <w:r>
        <w:t xml:space="preserve"> – 2122,7 mii lei.</w:t>
      </w:r>
    </w:p>
    <w:p w:rsidR="00634497" w:rsidRDefault="00634497" w:rsidP="00634497">
      <w:pPr>
        <w:rPr>
          <w:lang w:val="en-US"/>
        </w:rPr>
      </w:pPr>
      <w:r w:rsidRPr="00CC6A08">
        <w:rPr>
          <w:b/>
          <w:lang w:val="en-US"/>
        </w:rPr>
        <w:t>2.Se aprobă</w:t>
      </w:r>
      <w:r>
        <w:rPr>
          <w:lang w:val="en-US"/>
        </w:rPr>
        <w:t>:</w:t>
      </w:r>
    </w:p>
    <w:p w:rsidR="00634497" w:rsidRDefault="00634497" w:rsidP="00634497">
      <w:r w:rsidRPr="001656EB">
        <w:rPr>
          <w:b/>
        </w:rPr>
        <w:t>2.1</w:t>
      </w:r>
      <w:r>
        <w:t>.Sinteza veniturilor bugetului local şi cheltuielior pe grupe principale prezentată în anexa nr.1;</w:t>
      </w:r>
    </w:p>
    <w:p w:rsidR="00634497" w:rsidRDefault="00634497" w:rsidP="00634497">
      <w:r w:rsidRPr="001656EB">
        <w:rPr>
          <w:b/>
        </w:rPr>
        <w:t>2.</w:t>
      </w:r>
      <w:r>
        <w:rPr>
          <w:b/>
        </w:rPr>
        <w:t>2</w:t>
      </w:r>
      <w:r>
        <w:t xml:space="preserve"> Nomeclatorul tarifelor pentru prestarea serviciilor contra plată de instituţiile bugetare,finanţele de la bugetul local şi suma totală pe mijloace colectate preconizate spre încasare de către instituţiile pe serviciile prestate prezentate în anexa nr.2</w:t>
      </w:r>
    </w:p>
    <w:p w:rsidR="00634497" w:rsidRDefault="00634497" w:rsidP="00634497">
      <w:r w:rsidRPr="001656EB">
        <w:rPr>
          <w:b/>
        </w:rPr>
        <w:t>2.</w:t>
      </w:r>
      <w:r>
        <w:rPr>
          <w:b/>
        </w:rPr>
        <w:t>3</w:t>
      </w:r>
      <w:r>
        <w:t xml:space="preserve">  Efectivul limită al statelor de personal din instituţiile bugetare finanţate din bugetul local  prezentată în anexa nr.3;</w:t>
      </w:r>
    </w:p>
    <w:p w:rsidR="00634497" w:rsidRDefault="00634497" w:rsidP="00634497">
      <w:r w:rsidRPr="001656EB">
        <w:rPr>
          <w:b/>
          <w:lang w:val="en-US"/>
        </w:rPr>
        <w:t>2.</w:t>
      </w:r>
      <w:r>
        <w:rPr>
          <w:b/>
          <w:lang w:val="en-US"/>
        </w:rPr>
        <w:t>4</w:t>
      </w:r>
      <w:r>
        <w:rPr>
          <w:lang w:val="en-US"/>
        </w:rPr>
        <w:t xml:space="preserve"> Cuantumul fondului de re</w:t>
      </w:r>
      <w:r>
        <w:t>zervă calculat în proporţie 1% din volumul cheltuielilor de bază în sumă de 20 mii lei ,prezentată în anexa nr.1;</w:t>
      </w:r>
    </w:p>
    <w:p w:rsidR="00634497" w:rsidRDefault="00634497" w:rsidP="00634497">
      <w:r w:rsidRPr="001656EB">
        <w:rPr>
          <w:b/>
        </w:rPr>
        <w:t>3</w:t>
      </w:r>
      <w:r>
        <w:t>.Datoriile creditare ,înregistrate la 1 ianuarie 2017 ale instituţiei lor bugetare vor fi achitate din contul şi limita alocaţiilor aprobate pe anul 2017.</w:t>
      </w:r>
    </w:p>
    <w:p w:rsidR="00634497" w:rsidRDefault="00634497" w:rsidP="00634497">
      <w:pPr>
        <w:rPr>
          <w:lang w:val="en-US"/>
        </w:rPr>
      </w:pPr>
      <w:r w:rsidRPr="001656EB">
        <w:rPr>
          <w:b/>
        </w:rPr>
        <w:t>4</w:t>
      </w:r>
      <w:r>
        <w:t>.Executorii de buget vor asigura</w:t>
      </w:r>
      <w:r>
        <w:rPr>
          <w:lang w:val="en-US"/>
        </w:rPr>
        <w:t>:</w:t>
      </w:r>
    </w:p>
    <w:p w:rsidR="00634497" w:rsidRDefault="00634497" w:rsidP="00634497">
      <w:pPr>
        <w:rPr>
          <w:lang w:val="en-US"/>
        </w:rPr>
      </w:pPr>
      <w:r>
        <w:rPr>
          <w:lang w:val="en-US"/>
        </w:rPr>
        <w:t>-legalitatea utilizării alocaţiilor bugetare şi respectarea limetilor aprobate;</w:t>
      </w:r>
    </w:p>
    <w:p w:rsidR="00634497" w:rsidRDefault="00634497" w:rsidP="00634497">
      <w:pPr>
        <w:rPr>
          <w:lang w:val="en-US"/>
        </w:rPr>
      </w:pPr>
      <w:r>
        <w:rPr>
          <w:lang w:val="en-US"/>
        </w:rPr>
        <w:t>-contractarea de lucrări ,servicii ,bunuri materiale conform prevederilor Legii privind achiziţii publice.</w:t>
      </w:r>
    </w:p>
    <w:p w:rsidR="00634497" w:rsidRDefault="00634497" w:rsidP="00634497">
      <w:pPr>
        <w:rPr>
          <w:lang w:val="en-US"/>
        </w:rPr>
      </w:pPr>
      <w:r w:rsidRPr="001656EB">
        <w:rPr>
          <w:b/>
          <w:lang w:val="en-US"/>
        </w:rPr>
        <w:t>5</w:t>
      </w:r>
      <w:r>
        <w:rPr>
          <w:lang w:val="en-US"/>
        </w:rPr>
        <w:t>.Contabil şef –Morari Stela va opera în procesul de executare a bugetului modificările respective în limitele prevăzute în legislaţie.</w:t>
      </w:r>
    </w:p>
    <w:p w:rsidR="00634497" w:rsidRDefault="00634497" w:rsidP="00634497">
      <w:pPr>
        <w:rPr>
          <w:lang w:val="en-US"/>
        </w:rPr>
      </w:pPr>
      <w:r w:rsidRPr="001656EB">
        <w:rPr>
          <w:b/>
          <w:lang w:val="en-US"/>
        </w:rPr>
        <w:t>6</w:t>
      </w:r>
      <w:r>
        <w:rPr>
          <w:lang w:val="en-US"/>
        </w:rPr>
        <w:t>.Responsabil de executarea deciziei este primarul Moroi Alexandr</w:t>
      </w:r>
    </w:p>
    <w:p w:rsidR="00634497" w:rsidRPr="00F21191" w:rsidRDefault="00634497" w:rsidP="00634497">
      <w:pPr>
        <w:rPr>
          <w:lang w:val="en-US"/>
        </w:rPr>
      </w:pPr>
      <w:r w:rsidRPr="001656EB">
        <w:rPr>
          <w:b/>
          <w:lang w:val="en-US"/>
        </w:rPr>
        <w:t>7</w:t>
      </w:r>
      <w:r>
        <w:rPr>
          <w:lang w:val="en-US"/>
        </w:rPr>
        <w:t>.Controlul executării prezentei decizii se pune în seama Comisiei Consultative de Specialitate  Finanţe şi Buget(preş.Tereniuc Ala)</w:t>
      </w:r>
    </w:p>
    <w:p w:rsidR="00634497" w:rsidRDefault="00634497" w:rsidP="00634497">
      <w:pPr>
        <w:rPr>
          <w:lang w:val="en-US"/>
        </w:rPr>
      </w:pPr>
    </w:p>
    <w:p w:rsidR="00634497" w:rsidRPr="008677FC" w:rsidRDefault="00634497" w:rsidP="00634497">
      <w:pPr>
        <w:rPr>
          <w:lang w:val="en-US"/>
        </w:rPr>
      </w:pPr>
      <w:r w:rsidRPr="008677FC">
        <w:rPr>
          <w:lang w:val="en-US"/>
        </w:rPr>
        <w:t>Presedintele se</w:t>
      </w:r>
      <w:r>
        <w:rPr>
          <w:lang w:val="en-US"/>
        </w:rPr>
        <w:t>dintei                                      Andrieș Andrei</w:t>
      </w:r>
    </w:p>
    <w:p w:rsidR="00634497" w:rsidRDefault="00634497" w:rsidP="00634497">
      <w:pPr>
        <w:rPr>
          <w:lang w:val="en-US"/>
        </w:rPr>
      </w:pPr>
    </w:p>
    <w:p w:rsidR="0062129C" w:rsidRPr="00634497" w:rsidRDefault="00634497" w:rsidP="00634497">
      <w:pPr>
        <w:rPr>
          <w:lang w:val="en-US"/>
        </w:rPr>
      </w:pPr>
      <w:r w:rsidRPr="008677FC">
        <w:rPr>
          <w:lang w:val="en-US"/>
        </w:rPr>
        <w:t xml:space="preserve">Secretarul consiliului        </w:t>
      </w:r>
      <w:r>
        <w:rPr>
          <w:lang w:val="en-US"/>
        </w:rPr>
        <w:t xml:space="preserve">                            Oală</w:t>
      </w:r>
      <w:r w:rsidRPr="008677FC">
        <w:rPr>
          <w:lang w:val="en-US"/>
        </w:rPr>
        <w:t xml:space="preserve"> Galina</w:t>
      </w:r>
      <w:bookmarkStart w:id="0" w:name="_GoBack"/>
      <w:bookmarkEnd w:id="0"/>
    </w:p>
    <w:sectPr w:rsidR="0062129C" w:rsidRPr="00634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3B"/>
    <w:rsid w:val="0062129C"/>
    <w:rsid w:val="00634497"/>
    <w:rsid w:val="006E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4497"/>
    <w:pPr>
      <w:spacing w:after="0" w:line="240" w:lineRule="auto"/>
      <w:ind w:firstLine="567"/>
      <w:jc w:val="both"/>
    </w:pPr>
    <w:rPr>
      <w:rFonts w:ascii="Times New Roman" w:hAnsi="Times New Roman"/>
      <w:sz w:val="24"/>
      <w:lang w:val="ro-RO"/>
    </w:rPr>
  </w:style>
  <w:style w:type="paragraph" w:styleId="3">
    <w:name w:val="heading 3"/>
    <w:basedOn w:val="a"/>
    <w:next w:val="a"/>
    <w:link w:val="30"/>
    <w:semiHidden/>
    <w:unhideWhenUsed/>
    <w:qFormat/>
    <w:rsid w:val="00634497"/>
    <w:pPr>
      <w:keepNext/>
      <w:ind w:firstLine="0"/>
      <w:jc w:val="center"/>
      <w:outlineLvl w:val="2"/>
    </w:pPr>
    <w:rPr>
      <w:rFonts w:eastAsia="Arial Unicode MS" w:cs="Times New Roman"/>
      <w:szCs w:val="20"/>
      <w:lang w:eastAsia="ru-RU"/>
    </w:rPr>
  </w:style>
  <w:style w:type="paragraph" w:styleId="5">
    <w:name w:val="heading 5"/>
    <w:basedOn w:val="a"/>
    <w:next w:val="a"/>
    <w:link w:val="50"/>
    <w:semiHidden/>
    <w:unhideWhenUsed/>
    <w:qFormat/>
    <w:rsid w:val="00634497"/>
    <w:pPr>
      <w:spacing w:before="240" w:after="60"/>
      <w:ind w:firstLine="0"/>
      <w:jc w:val="left"/>
      <w:outlineLvl w:val="4"/>
    </w:pPr>
    <w:rPr>
      <w:rFonts w:eastAsia="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34497"/>
    <w:rPr>
      <w:rFonts w:ascii="Times New Roman" w:eastAsia="Arial Unicode MS" w:hAnsi="Times New Roman" w:cs="Times New Roman"/>
      <w:sz w:val="24"/>
      <w:szCs w:val="20"/>
      <w:lang w:val="ro-RO" w:eastAsia="ru-RU"/>
    </w:rPr>
  </w:style>
  <w:style w:type="character" w:customStyle="1" w:styleId="50">
    <w:name w:val="Заголовок 5 Знак"/>
    <w:basedOn w:val="a0"/>
    <w:link w:val="5"/>
    <w:semiHidden/>
    <w:rsid w:val="00634497"/>
    <w:rPr>
      <w:rFonts w:ascii="Times New Roman" w:eastAsia="Times New Roman" w:hAnsi="Times New Roman" w:cs="Times New Roman"/>
      <w:b/>
      <w:bCs/>
      <w:i/>
      <w:iCs/>
      <w:sz w:val="26"/>
      <w:szCs w:val="26"/>
      <w:lang w:eastAsia="ru-RU"/>
    </w:rPr>
  </w:style>
  <w:style w:type="character" w:styleId="a3">
    <w:name w:val="Hyperlink"/>
    <w:basedOn w:val="a0"/>
    <w:unhideWhenUsed/>
    <w:rsid w:val="00634497"/>
    <w:rPr>
      <w:color w:val="0000FF"/>
      <w:u w:val="single"/>
    </w:rPr>
  </w:style>
  <w:style w:type="paragraph" w:styleId="a4">
    <w:name w:val="Balloon Text"/>
    <w:basedOn w:val="a"/>
    <w:link w:val="a5"/>
    <w:uiPriority w:val="99"/>
    <w:semiHidden/>
    <w:unhideWhenUsed/>
    <w:rsid w:val="00634497"/>
    <w:rPr>
      <w:rFonts w:ascii="Tahoma" w:hAnsi="Tahoma" w:cs="Tahoma"/>
      <w:sz w:val="16"/>
      <w:szCs w:val="16"/>
    </w:rPr>
  </w:style>
  <w:style w:type="character" w:customStyle="1" w:styleId="a5">
    <w:name w:val="Текст выноски Знак"/>
    <w:basedOn w:val="a0"/>
    <w:link w:val="a4"/>
    <w:uiPriority w:val="99"/>
    <w:semiHidden/>
    <w:rsid w:val="00634497"/>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4497"/>
    <w:pPr>
      <w:spacing w:after="0" w:line="240" w:lineRule="auto"/>
      <w:ind w:firstLine="567"/>
      <w:jc w:val="both"/>
    </w:pPr>
    <w:rPr>
      <w:rFonts w:ascii="Times New Roman" w:hAnsi="Times New Roman"/>
      <w:sz w:val="24"/>
      <w:lang w:val="ro-RO"/>
    </w:rPr>
  </w:style>
  <w:style w:type="paragraph" w:styleId="3">
    <w:name w:val="heading 3"/>
    <w:basedOn w:val="a"/>
    <w:next w:val="a"/>
    <w:link w:val="30"/>
    <w:semiHidden/>
    <w:unhideWhenUsed/>
    <w:qFormat/>
    <w:rsid w:val="00634497"/>
    <w:pPr>
      <w:keepNext/>
      <w:ind w:firstLine="0"/>
      <w:jc w:val="center"/>
      <w:outlineLvl w:val="2"/>
    </w:pPr>
    <w:rPr>
      <w:rFonts w:eastAsia="Arial Unicode MS" w:cs="Times New Roman"/>
      <w:szCs w:val="20"/>
      <w:lang w:eastAsia="ru-RU"/>
    </w:rPr>
  </w:style>
  <w:style w:type="paragraph" w:styleId="5">
    <w:name w:val="heading 5"/>
    <w:basedOn w:val="a"/>
    <w:next w:val="a"/>
    <w:link w:val="50"/>
    <w:semiHidden/>
    <w:unhideWhenUsed/>
    <w:qFormat/>
    <w:rsid w:val="00634497"/>
    <w:pPr>
      <w:spacing w:before="240" w:after="60"/>
      <w:ind w:firstLine="0"/>
      <w:jc w:val="left"/>
      <w:outlineLvl w:val="4"/>
    </w:pPr>
    <w:rPr>
      <w:rFonts w:eastAsia="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34497"/>
    <w:rPr>
      <w:rFonts w:ascii="Times New Roman" w:eastAsia="Arial Unicode MS" w:hAnsi="Times New Roman" w:cs="Times New Roman"/>
      <w:sz w:val="24"/>
      <w:szCs w:val="20"/>
      <w:lang w:val="ro-RO" w:eastAsia="ru-RU"/>
    </w:rPr>
  </w:style>
  <w:style w:type="character" w:customStyle="1" w:styleId="50">
    <w:name w:val="Заголовок 5 Знак"/>
    <w:basedOn w:val="a0"/>
    <w:link w:val="5"/>
    <w:semiHidden/>
    <w:rsid w:val="00634497"/>
    <w:rPr>
      <w:rFonts w:ascii="Times New Roman" w:eastAsia="Times New Roman" w:hAnsi="Times New Roman" w:cs="Times New Roman"/>
      <w:b/>
      <w:bCs/>
      <w:i/>
      <w:iCs/>
      <w:sz w:val="26"/>
      <w:szCs w:val="26"/>
      <w:lang w:eastAsia="ru-RU"/>
    </w:rPr>
  </w:style>
  <w:style w:type="character" w:styleId="a3">
    <w:name w:val="Hyperlink"/>
    <w:basedOn w:val="a0"/>
    <w:unhideWhenUsed/>
    <w:rsid w:val="00634497"/>
    <w:rPr>
      <w:color w:val="0000FF"/>
      <w:u w:val="single"/>
    </w:rPr>
  </w:style>
  <w:style w:type="paragraph" w:styleId="a4">
    <w:name w:val="Balloon Text"/>
    <w:basedOn w:val="a"/>
    <w:link w:val="a5"/>
    <w:uiPriority w:val="99"/>
    <w:semiHidden/>
    <w:unhideWhenUsed/>
    <w:rsid w:val="00634497"/>
    <w:rPr>
      <w:rFonts w:ascii="Tahoma" w:hAnsi="Tahoma" w:cs="Tahoma"/>
      <w:sz w:val="16"/>
      <w:szCs w:val="16"/>
    </w:rPr>
  </w:style>
  <w:style w:type="character" w:customStyle="1" w:styleId="a5">
    <w:name w:val="Текст выноски Знак"/>
    <w:basedOn w:val="a0"/>
    <w:link w:val="a4"/>
    <w:uiPriority w:val="99"/>
    <w:semiHidden/>
    <w:rsid w:val="00634497"/>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tel:68-2-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0</DocSecurity>
  <Lines>18</Lines>
  <Paragraphs>5</Paragraphs>
  <ScaleCrop>false</ScaleCrop>
  <Company>SPecialiST RePack</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2016-12-26T13:47:00Z</dcterms:created>
  <dcterms:modified xsi:type="dcterms:W3CDTF">2016-12-26T13:48:00Z</dcterms:modified>
</cp:coreProperties>
</file>