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Look w:val="0000"/>
      </w:tblPr>
      <w:tblGrid>
        <w:gridCol w:w="3815"/>
        <w:gridCol w:w="1906"/>
        <w:gridCol w:w="3960"/>
      </w:tblGrid>
      <w:tr w:rsidR="00140D77" w:rsidRPr="00B25610" w:rsidTr="006C16A6">
        <w:trPr>
          <w:trHeight w:val="1078"/>
        </w:trPr>
        <w:tc>
          <w:tcPr>
            <w:tcW w:w="3815" w:type="dxa"/>
          </w:tcPr>
          <w:p w:rsidR="00140D77" w:rsidRPr="00B25610" w:rsidRDefault="00140D77" w:rsidP="006C16A6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</w:pPr>
            <w:r w:rsidRPr="00B2561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ru-RU"/>
              </w:rPr>
              <w:t xml:space="preserve">    REPUBLICA MOLDOVA</w:t>
            </w:r>
          </w:p>
          <w:p w:rsidR="00140D77" w:rsidRPr="00B25610" w:rsidRDefault="00140D77" w:rsidP="006C1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25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RAIONUL FĂLEŞTI</w:t>
            </w:r>
          </w:p>
          <w:p w:rsidR="00140D77" w:rsidRPr="00B25610" w:rsidRDefault="00140D77" w:rsidP="006C1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25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PRIMĂRIA ILENUŢA</w:t>
            </w:r>
          </w:p>
          <w:p w:rsidR="00140D77" w:rsidRPr="00B25610" w:rsidRDefault="00140D77" w:rsidP="006C1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25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140D77" w:rsidRPr="00B25610" w:rsidRDefault="00140D77" w:rsidP="006C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733425" cy="685800"/>
                  <wp:effectExtent l="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140D77" w:rsidRPr="00B25610" w:rsidRDefault="00140D77" w:rsidP="006C16A6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2561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РЕСПУБЛИКА МОЛДОВА</w:t>
            </w:r>
          </w:p>
          <w:p w:rsidR="00140D77" w:rsidRPr="00B25610" w:rsidRDefault="00140D77" w:rsidP="006C16A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B2561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ФАЛЕШТСКИЙ РАЙОН</w:t>
            </w:r>
          </w:p>
          <w:p w:rsidR="00140D77" w:rsidRPr="00B25610" w:rsidRDefault="00140D77" w:rsidP="006C16A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B25610"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  <w:t>ПРИМЭРИЯ ИЛЕНУЦА</w:t>
            </w:r>
          </w:p>
          <w:p w:rsidR="00140D77" w:rsidRPr="00B25610" w:rsidRDefault="00140D77" w:rsidP="006C16A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25610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тел</w:t>
            </w:r>
            <w:r w:rsidRPr="00B25610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.</w:t>
            </w:r>
            <w:r w:rsidRPr="00B25610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68</w:t>
            </w:r>
            <w:r w:rsidRPr="00B25610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</w:t>
            </w:r>
            <w:r w:rsidRPr="00B25610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2</w:t>
            </w:r>
            <w:r w:rsidRPr="00B25610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-36</w:t>
            </w:r>
          </w:p>
        </w:tc>
      </w:tr>
    </w:tbl>
    <w:p w:rsidR="00140D77" w:rsidRDefault="00140D77" w:rsidP="00140D77">
      <w:pPr>
        <w:spacing w:after="0" w:line="240" w:lineRule="auto"/>
        <w:rPr>
          <w:rFonts w:ascii="Times New Roman" w:eastAsia="Times New Roman" w:hAnsi="Times New Roman" w:cs="Times New Roman"/>
          <w:b/>
          <w:lang w:val="ro-RO" w:eastAsia="ru-RU"/>
        </w:rPr>
      </w:pPr>
      <w:r w:rsidRPr="00912D51">
        <w:rPr>
          <w:rFonts w:ascii="Times New Roman" w:eastAsia="Times New Roman" w:hAnsi="Times New Roman" w:cs="Times New Roman"/>
          <w:b/>
          <w:lang w:val="ro-RO" w:eastAsia="ru-RU"/>
        </w:rPr>
        <w:t>mail:primaria.ilenuta</w:t>
      </w:r>
      <w:r w:rsidRPr="00912D51">
        <w:rPr>
          <w:rFonts w:ascii="Times New Roman" w:eastAsia="Times New Roman" w:hAnsi="Times New Roman" w:cs="Times New Roman"/>
          <w:b/>
          <w:lang w:eastAsia="ru-RU"/>
        </w:rPr>
        <w:t>@</w:t>
      </w:r>
      <w:r w:rsidRPr="00912D51">
        <w:rPr>
          <w:rFonts w:ascii="Times New Roman" w:eastAsia="Times New Roman" w:hAnsi="Times New Roman" w:cs="Times New Roman"/>
          <w:b/>
          <w:lang w:val="ro-RO" w:eastAsia="ru-RU"/>
        </w:rPr>
        <w:t>mail.ru</w:t>
      </w:r>
      <w:r>
        <w:rPr>
          <w:rFonts w:ascii="Times New Roman" w:eastAsia="Times New Roman" w:hAnsi="Times New Roman" w:cs="Times New Roman"/>
          <w:b/>
          <w:lang w:val="ro-RO" w:eastAsia="ru-RU"/>
        </w:rPr>
        <w:t xml:space="preserve">                                                         </w:t>
      </w:r>
      <w:r w:rsidRPr="00912D51">
        <w:rPr>
          <w:rFonts w:ascii="Times New Roman" w:eastAsia="Times New Roman" w:hAnsi="Times New Roman" w:cs="Times New Roman"/>
          <w:b/>
          <w:lang w:val="ro-RO" w:eastAsia="ru-RU"/>
        </w:rPr>
        <w:t>mail:primaria.ilenuta</w:t>
      </w:r>
      <w:r w:rsidRPr="00912D51">
        <w:rPr>
          <w:rFonts w:ascii="Times New Roman" w:eastAsia="Times New Roman" w:hAnsi="Times New Roman" w:cs="Times New Roman"/>
          <w:b/>
          <w:lang w:eastAsia="ru-RU"/>
        </w:rPr>
        <w:t>@</w:t>
      </w:r>
      <w:r w:rsidRPr="00912D51">
        <w:rPr>
          <w:rFonts w:ascii="Times New Roman" w:eastAsia="Times New Roman" w:hAnsi="Times New Roman" w:cs="Times New Roman"/>
          <w:b/>
          <w:lang w:val="ro-RO" w:eastAsia="ru-RU"/>
        </w:rPr>
        <w:t>mail.ru</w:t>
      </w:r>
    </w:p>
    <w:p w:rsidR="00140D77" w:rsidRPr="00912D51" w:rsidRDefault="00140D77" w:rsidP="00140D77">
      <w:pPr>
        <w:spacing w:after="0" w:line="240" w:lineRule="auto"/>
        <w:rPr>
          <w:rFonts w:ascii="Times New Roman" w:eastAsia="Times New Roman" w:hAnsi="Times New Roman" w:cs="Times New Roman"/>
          <w:b/>
          <w:lang w:val="ro-RO" w:eastAsia="ru-RU"/>
        </w:rPr>
      </w:pPr>
    </w:p>
    <w:p w:rsidR="00140D77" w:rsidRDefault="00140D77" w:rsidP="00140D77">
      <w:pPr>
        <w:pStyle w:val="3"/>
        <w:jc w:val="left"/>
        <w:rPr>
          <w:b/>
          <w:sz w:val="28"/>
          <w:szCs w:val="28"/>
        </w:rPr>
      </w:pPr>
    </w:p>
    <w:p w:rsidR="00140D77" w:rsidRPr="002C1E37" w:rsidRDefault="00140D77" w:rsidP="00140D77">
      <w:pPr>
        <w:pStyle w:val="3"/>
        <w:jc w:val="left"/>
        <w:rPr>
          <w:sz w:val="28"/>
          <w:szCs w:val="28"/>
        </w:rPr>
      </w:pPr>
      <w:r>
        <w:rPr>
          <w:sz w:val="28"/>
          <w:szCs w:val="28"/>
        </w:rPr>
        <w:t>20.01.2017</w:t>
      </w:r>
      <w:r w:rsidRPr="002C1E37">
        <w:rPr>
          <w:sz w:val="28"/>
          <w:szCs w:val="28"/>
        </w:rPr>
        <w:t xml:space="preserve">                                                                                         nr.1/2</w:t>
      </w:r>
    </w:p>
    <w:p w:rsidR="00140D77" w:rsidRDefault="00140D77" w:rsidP="00140D77">
      <w:pPr>
        <w:pStyle w:val="3"/>
        <w:rPr>
          <w:b/>
          <w:sz w:val="28"/>
          <w:szCs w:val="28"/>
        </w:rPr>
      </w:pPr>
    </w:p>
    <w:p w:rsidR="00140D77" w:rsidRPr="007E0DE0" w:rsidRDefault="00140D77" w:rsidP="00140D77"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</w:rPr>
        <w:t>DECIZIE</w:t>
      </w:r>
    </w:p>
    <w:p w:rsidR="00140D77" w:rsidRPr="008C1259" w:rsidRDefault="00140D77" w:rsidP="00140D77">
      <w:pPr>
        <w:pStyle w:val="5"/>
        <w:rPr>
          <w:lang w:val="en-US"/>
        </w:rPr>
      </w:pPr>
      <w:r w:rsidRPr="007E0DE0">
        <w:rPr>
          <w:lang w:val="en-US"/>
        </w:rPr>
        <w:t xml:space="preserve">“Cu </w:t>
      </w:r>
      <w:proofErr w:type="spellStart"/>
      <w:r w:rsidRPr="007E0DE0">
        <w:rPr>
          <w:lang w:val="en-US"/>
        </w:rPr>
        <w:t>privire</w:t>
      </w:r>
      <w:proofErr w:type="spellEnd"/>
      <w:r w:rsidRPr="007E0DE0">
        <w:rPr>
          <w:lang w:val="en-US"/>
        </w:rPr>
        <w:t xml:space="preserve"> la </w:t>
      </w:r>
      <w:proofErr w:type="spellStart"/>
      <w:r w:rsidRPr="004215BE">
        <w:rPr>
          <w:lang w:val="en-US"/>
        </w:rPr>
        <w:t>alocarea</w:t>
      </w:r>
      <w:proofErr w:type="spellEnd"/>
      <w:r w:rsidRPr="004215BE">
        <w:rPr>
          <w:lang w:val="en-US"/>
        </w:rPr>
        <w:t xml:space="preserve"> </w:t>
      </w:r>
      <w:proofErr w:type="spellStart"/>
      <w:r w:rsidRPr="004215BE">
        <w:rPr>
          <w:lang w:val="en-US"/>
        </w:rPr>
        <w:t>mijloacelor</w:t>
      </w:r>
      <w:proofErr w:type="spellEnd"/>
      <w:r w:rsidRPr="004215BE">
        <w:rPr>
          <w:lang w:val="en-US"/>
        </w:rPr>
        <w:t xml:space="preserve"> </w:t>
      </w:r>
      <w:proofErr w:type="spellStart"/>
      <w:r w:rsidRPr="004215BE">
        <w:rPr>
          <w:lang w:val="en-US"/>
        </w:rPr>
        <w:t>financiare</w:t>
      </w:r>
      <w:proofErr w:type="spellEnd"/>
    </w:p>
    <w:p w:rsidR="00140D77" w:rsidRDefault="00140D77" w:rsidP="00140D77">
      <w:pPr>
        <w:rPr>
          <w:lang w:val="ro-RO"/>
        </w:rPr>
      </w:pPr>
    </w:p>
    <w:p w:rsidR="00140D77" w:rsidRPr="004215BE" w:rsidRDefault="00140D77" w:rsidP="00140D7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Examinînd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materialele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prezentate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Comisia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Situațiilor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Excepț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ionale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proofErr w:type="gram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acordarea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ajutorului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material,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art. 81 al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Moldova </w:t>
      </w:r>
      <w:proofErr w:type="spellStart"/>
      <w:proofErr w:type="gramStart"/>
      <w:r w:rsidRPr="004215B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administraţia</w:t>
      </w:r>
      <w:proofErr w:type="spellEnd"/>
      <w:proofErr w:type="gram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nr. 436 – XVI din 28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decembrie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2006,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art. </w:t>
      </w:r>
      <w:proofErr w:type="gramStart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27, al. 2 al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Moldova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finanţele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proofErr w:type="gram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397 din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octombrie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2003,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constituirea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utilizarea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mijloacelor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fondului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rezervă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decezia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Ilenuț</w:t>
      </w:r>
      <w:proofErr w:type="gramStart"/>
      <w:r w:rsidRPr="004215B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 nr</w:t>
      </w:r>
      <w:proofErr w:type="gram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. 6/ 1 din 13. 03. 2014,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luînd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considerație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avizul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consultative de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problemele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sociale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învățămînt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cultură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sănătate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turism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, sport,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culte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Ilenuța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40D77" w:rsidRPr="004215BE" w:rsidRDefault="00140D77" w:rsidP="00140D7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215BE">
        <w:rPr>
          <w:rFonts w:ascii="Times New Roman" w:hAnsi="Times New Roman" w:cs="Times New Roman"/>
          <w:b/>
          <w:sz w:val="28"/>
          <w:szCs w:val="28"/>
          <w:lang w:val="en-US"/>
        </w:rPr>
        <w:t>D E C I D E:</w:t>
      </w:r>
    </w:p>
    <w:p w:rsidR="00140D77" w:rsidRDefault="00140D77" w:rsidP="00140D7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1. Se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alocă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ajutor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financiar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unic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suma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>
        <w:rPr>
          <w:rFonts w:ascii="Times New Roman" w:hAnsi="Times New Roman" w:cs="Times New Roman"/>
          <w:sz w:val="28"/>
          <w:szCs w:val="28"/>
          <w:lang w:val="en-US"/>
        </w:rPr>
        <w:t>5000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cinci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lei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usţinerea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materială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familiei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Cebanu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Irina.</w:t>
      </w:r>
    </w:p>
    <w:p w:rsidR="00140D77" w:rsidRDefault="00140D77" w:rsidP="00140D7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Sursa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acoperire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cheltuielilor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alocate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p.I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consideră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fondul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rezervă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Ilenuța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40D77" w:rsidRDefault="00140D77" w:rsidP="00140D7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3.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prezenţei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seama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consultative de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problemele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sociale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preşedinte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– dl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Vîrtosu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Alex.</w:t>
      </w:r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dl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Moroi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Alex.</w:t>
      </w:r>
    </w:p>
    <w:p w:rsidR="00140D77" w:rsidRDefault="00140D77" w:rsidP="00140D7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40D77" w:rsidRDefault="00140D77" w:rsidP="00140D7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Preşedintele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sedinţei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Vîrtosu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Alexandru</w:t>
      </w:r>
      <w:proofErr w:type="spellEnd"/>
    </w:p>
    <w:p w:rsidR="00140D77" w:rsidRDefault="00140D77" w:rsidP="00140D7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Secretar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4215BE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4215BE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Galina</w:t>
      </w:r>
    </w:p>
    <w:p w:rsidR="00140D77" w:rsidRDefault="00140D77"/>
    <w:sectPr w:rsidR="00140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0D77"/>
    <w:rsid w:val="00140D77"/>
    <w:rsid w:val="00752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77"/>
    <w:rPr>
      <w:lang w:val="ru-RU"/>
    </w:rPr>
  </w:style>
  <w:style w:type="paragraph" w:styleId="3">
    <w:name w:val="heading 3"/>
    <w:basedOn w:val="a"/>
    <w:next w:val="a"/>
    <w:link w:val="30"/>
    <w:qFormat/>
    <w:rsid w:val="00140D77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sz w:val="24"/>
      <w:szCs w:val="20"/>
      <w:lang w:val="ro-RO" w:eastAsia="ru-RU"/>
    </w:rPr>
  </w:style>
  <w:style w:type="paragraph" w:styleId="5">
    <w:name w:val="heading 5"/>
    <w:basedOn w:val="a"/>
    <w:next w:val="a"/>
    <w:link w:val="50"/>
    <w:qFormat/>
    <w:rsid w:val="00140D7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0D77"/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40D77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140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D77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2</cp:revision>
  <dcterms:created xsi:type="dcterms:W3CDTF">2017-01-20T12:19:00Z</dcterms:created>
  <dcterms:modified xsi:type="dcterms:W3CDTF">2017-01-20T12:19:00Z</dcterms:modified>
</cp:coreProperties>
</file>