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BE" w:rsidRDefault="003A48BE" w:rsidP="003A48BE">
      <w:pPr>
        <w:jc w:val="right"/>
        <w:rPr>
          <w:lang w:val="fr-FR"/>
        </w:rPr>
      </w:pPr>
      <w:r>
        <w:rPr>
          <w:lang w:val="fr-FR"/>
        </w:rPr>
        <w:t>Anexa nr.2</w:t>
      </w:r>
    </w:p>
    <w:p w:rsidR="003A48BE" w:rsidRDefault="003A48BE" w:rsidP="003A48BE">
      <w:pPr>
        <w:jc w:val="right"/>
        <w:rPr>
          <w:lang w:val="fr-FR"/>
        </w:rPr>
      </w:pPr>
      <w:r>
        <w:rPr>
          <w:lang w:val="fr-FR"/>
        </w:rPr>
        <w:t>La decizia Consiliul Local  Ilenuţas</w:t>
      </w:r>
    </w:p>
    <w:p w:rsidR="003A48BE" w:rsidRDefault="003A48BE" w:rsidP="003A48BE">
      <w:pPr>
        <w:jc w:val="right"/>
        <w:rPr>
          <w:lang w:val="fr-FR"/>
        </w:rPr>
      </w:pPr>
      <w:r>
        <w:rPr>
          <w:lang w:val="fr-FR"/>
        </w:rPr>
        <w:t>nr.10/2  din 06.12.2016</w:t>
      </w:r>
    </w:p>
    <w:p w:rsidR="003A48BE" w:rsidRDefault="003A48BE" w:rsidP="003A48BE">
      <w:pPr>
        <w:jc w:val="center"/>
        <w:rPr>
          <w:b/>
          <w:sz w:val="28"/>
          <w:szCs w:val="28"/>
          <w:lang w:val="fr-FR"/>
        </w:rPr>
      </w:pPr>
    </w:p>
    <w:p w:rsidR="003A48BE" w:rsidRDefault="003A48BE" w:rsidP="003A48BE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Cotele concrete ale impozitului pe bunurile imobiliare pentru anul  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4950"/>
        <w:gridCol w:w="3420"/>
        <w:gridCol w:w="1123"/>
        <w:gridCol w:w="1487"/>
        <w:gridCol w:w="1710"/>
        <w:gridCol w:w="1436"/>
      </w:tblGrid>
      <w:tr w:rsidR="003A48BE" w:rsidTr="003A48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</w:rPr>
              <w:t>Nr.d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o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</w:rPr>
              <w:t>Obiectele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impunerii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</w:rPr>
              <w:t>Subiecţii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impunerii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</w:rPr>
              <w:t>Capitol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</w:p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</w:rPr>
              <w:t>paragraf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</w:rPr>
              <w:t>Baza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impozabilă</w:t>
            </w:r>
            <w:proofErr w:type="spellEnd"/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costul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Cota maximă a impozitului conform Codului Fiscal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</w:rPr>
              <w:t>Cota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concretă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impozitului</w:t>
            </w:r>
            <w:proofErr w:type="spellEnd"/>
          </w:p>
        </w:tc>
      </w:tr>
      <w:tr w:rsidR="003A48BE" w:rsidTr="003A48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A48BE" w:rsidTr="003A48BE">
        <w:tc>
          <w:tcPr>
            <w:tcW w:w="14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</w:rPr>
              <w:t>Bunurileimobiliareimpozitate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conform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Legiipentrupunereaînaplicare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titlului</w:t>
            </w:r>
            <w:proofErr w:type="spellEnd"/>
            <w:r>
              <w:rPr>
                <w:b/>
                <w:sz w:val="28"/>
                <w:szCs w:val="28"/>
              </w:rPr>
              <w:t xml:space="preserve"> VI </w:t>
            </w:r>
            <w:proofErr w:type="spellStart"/>
            <w:r>
              <w:rPr>
                <w:b/>
                <w:sz w:val="28"/>
                <w:szCs w:val="28"/>
              </w:rPr>
              <w:t>din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Codul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fiscal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nr</w:t>
            </w:r>
            <w:proofErr w:type="spellEnd"/>
            <w:r>
              <w:rPr>
                <w:b/>
                <w:sz w:val="28"/>
                <w:szCs w:val="28"/>
              </w:rPr>
              <w:t xml:space="preserve">. 1056-XVI </w:t>
            </w:r>
            <w:proofErr w:type="spellStart"/>
            <w:r>
              <w:rPr>
                <w:b/>
                <w:sz w:val="28"/>
                <w:szCs w:val="28"/>
              </w:rPr>
              <w:t>din</w:t>
            </w:r>
            <w:proofErr w:type="spellEnd"/>
            <w:r>
              <w:rPr>
                <w:b/>
                <w:sz w:val="28"/>
                <w:szCs w:val="28"/>
              </w:rPr>
              <w:t xml:space="preserve"> 16.06.200</w:t>
            </w:r>
          </w:p>
        </w:tc>
      </w:tr>
      <w:tr w:rsidR="003A48BE" w:rsidTr="003A48BE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BE" w:rsidRDefault="003A48BE">
            <w:pP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Clădirile şi construcţiile cu destinaţie agricolă, precum şi pe alte bunuri imobiliare, neevaluate de către organele cadastrale teritoriale conform valorii estimative, se stabileşte după cum urmează</w:t>
            </w:r>
          </w:p>
          <w:p w:rsidR="003A48BE" w:rsidRDefault="003A48BE">
            <w:pPr>
              <w:rPr>
                <w:sz w:val="28"/>
                <w:szCs w:val="28"/>
                <w:lang w:val="ro-RO"/>
              </w:rPr>
            </w:pPr>
          </w:p>
          <w:p w:rsidR="003A48BE" w:rsidRDefault="003A48BE">
            <w:pPr>
              <w:tabs>
                <w:tab w:val="left" w:pos="32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ab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lastRenderedPageBreak/>
              <w:t>Pentru persoanele juridice şi fizice care desfăşoară activitate de întreprinzător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113210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 w:rsidRPr="003A48BE">
              <w:rPr>
                <w:sz w:val="28"/>
                <w:szCs w:val="28"/>
                <w:lang w:val="en-US"/>
              </w:rPr>
              <w:t>Valoarea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contabil</w:t>
            </w:r>
            <w:proofErr w:type="spellEnd"/>
            <w:r>
              <w:rPr>
                <w:sz w:val="28"/>
                <w:szCs w:val="28"/>
                <w:lang w:val="ro-RO"/>
              </w:rPr>
              <w:t>ă</w:t>
            </w:r>
          </w:p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 bunurilor imobiliare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0,1 </w:t>
            </w:r>
            <w:proofErr w:type="spellStart"/>
            <w:r>
              <w:rPr>
                <w:sz w:val="28"/>
                <w:szCs w:val="28"/>
              </w:rPr>
              <w:t>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sută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0,1 </w:t>
            </w:r>
            <w:proofErr w:type="spellStart"/>
            <w:r>
              <w:rPr>
                <w:b/>
                <w:sz w:val="28"/>
                <w:szCs w:val="28"/>
              </w:rPr>
              <w:t>la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sută</w:t>
            </w:r>
            <w:proofErr w:type="spellEnd"/>
          </w:p>
        </w:tc>
      </w:tr>
      <w:tr w:rsidR="003A48BE" w:rsidTr="003A48BE">
        <w:tc>
          <w:tcPr>
            <w:tcW w:w="1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persoanele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fizice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altele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decît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specificate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prima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liniuţa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113220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Costul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bunurilo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imobiliare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0,1 </w:t>
            </w:r>
            <w:proofErr w:type="spellStart"/>
            <w:r>
              <w:rPr>
                <w:sz w:val="28"/>
                <w:szCs w:val="28"/>
              </w:rPr>
              <w:t>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sută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0,1 </w:t>
            </w:r>
            <w:proofErr w:type="spellStart"/>
            <w:r>
              <w:rPr>
                <w:b/>
                <w:sz w:val="28"/>
                <w:szCs w:val="28"/>
              </w:rPr>
              <w:t>la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sută</w:t>
            </w:r>
            <w:proofErr w:type="spellEnd"/>
          </w:p>
        </w:tc>
      </w:tr>
      <w:tr w:rsidR="003A48BE" w:rsidTr="003A48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II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Bunurile imobiliare cu destinaţie locative (apartamente şi case  de locuit individuale) din localităţile rurale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Persoanele juridice şi fizice care desfăşoară activitate de întreprinzător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113220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 w:rsidRPr="003A48BE">
              <w:rPr>
                <w:sz w:val="28"/>
                <w:szCs w:val="28"/>
                <w:lang w:val="en-US"/>
              </w:rPr>
              <w:t>Valoarea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contabil</w:t>
            </w:r>
            <w:proofErr w:type="spellEnd"/>
            <w:r>
              <w:rPr>
                <w:sz w:val="28"/>
                <w:szCs w:val="28"/>
                <w:lang w:val="ro-RO"/>
              </w:rPr>
              <w:t>ă</w:t>
            </w:r>
          </w:p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 bunurilor imobiliare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0,1 </w:t>
            </w:r>
            <w:proofErr w:type="spellStart"/>
            <w:r>
              <w:rPr>
                <w:sz w:val="28"/>
                <w:szCs w:val="28"/>
              </w:rPr>
              <w:t>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sută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0,1 </w:t>
            </w:r>
            <w:proofErr w:type="spellStart"/>
            <w:r>
              <w:rPr>
                <w:b/>
                <w:sz w:val="28"/>
                <w:szCs w:val="28"/>
              </w:rPr>
              <w:t>la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sută</w:t>
            </w:r>
            <w:proofErr w:type="spellEnd"/>
          </w:p>
        </w:tc>
      </w:tr>
      <w:tr w:rsidR="003A48BE" w:rsidTr="003A48BE">
        <w:tc>
          <w:tcPr>
            <w:tcW w:w="14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</w:rPr>
              <w:t>Bunurile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imobiliare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impozitate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conform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titlului</w:t>
            </w:r>
            <w:proofErr w:type="spellEnd"/>
            <w:r>
              <w:rPr>
                <w:b/>
                <w:sz w:val="28"/>
                <w:szCs w:val="28"/>
              </w:rPr>
              <w:t xml:space="preserve"> VI </w:t>
            </w:r>
            <w:proofErr w:type="spellStart"/>
            <w:r>
              <w:rPr>
                <w:b/>
                <w:sz w:val="28"/>
                <w:szCs w:val="28"/>
              </w:rPr>
              <w:t>din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Codul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Fiscal</w:t>
            </w:r>
            <w:proofErr w:type="spellEnd"/>
          </w:p>
        </w:tc>
      </w:tr>
      <w:tr w:rsidR="003A48BE" w:rsidTr="003A48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A48BE">
              <w:rPr>
                <w:sz w:val="28"/>
                <w:szCs w:val="28"/>
                <w:lang w:val="en-US"/>
              </w:rPr>
              <w:t>Bunurile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imobiliare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, inclusive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terenurile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terenurile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agricolă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industriei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telecomunicaţiilor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terenurile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alte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destinaţii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specificate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) din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intravelan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sau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extavilan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clădirile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casele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locuit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individuale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apartamente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alte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încăperi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izolate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, inclusive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bunurile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imobiliare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aflate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la o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etapă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finisarea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construcţiei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de 50%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mai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mult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rămase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nefinisate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timp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de 3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ani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după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începutul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lucrărilor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construcţie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anume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impozitul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pe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bunurile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imobiliare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A48BE">
              <w:rPr>
                <w:sz w:val="28"/>
                <w:szCs w:val="28"/>
                <w:lang w:val="en-US"/>
              </w:rPr>
              <w:t>Persoanele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juridice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persoanele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fizice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rezidenţi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nerezidenţi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ai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R. Moldova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113240</w:t>
            </w:r>
          </w:p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113230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0,05%-0,3%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0,1%</w:t>
            </w:r>
          </w:p>
        </w:tc>
      </w:tr>
      <w:tr w:rsidR="003A48BE" w:rsidTr="003A48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a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Garajele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terenurile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acestea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sunt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amplasate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Persoanele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fizice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113240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0,05%-0,3%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0,1%</w:t>
            </w:r>
          </w:p>
        </w:tc>
      </w:tr>
      <w:tr w:rsidR="003A48BE" w:rsidTr="003A48BE">
        <w:trPr>
          <w:trHeight w:val="14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b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A48BE">
              <w:rPr>
                <w:sz w:val="28"/>
                <w:szCs w:val="28"/>
                <w:lang w:val="en-US"/>
              </w:rPr>
              <w:t>Loturile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întovărăşiilor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pomicole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sau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fără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construcţii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amplasate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pe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ele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Persoanele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fizice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113240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0,05%-0,3%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0,1%</w:t>
            </w:r>
          </w:p>
        </w:tc>
      </w:tr>
      <w:tr w:rsidR="003A48BE" w:rsidRPr="003A48BE" w:rsidTr="003A48BE">
        <w:trPr>
          <w:trHeight w:val="35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Pentru terenurile agricole cu construcţii amplasate pe ele, care au valoarea de piaţă estimată: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Persoanele juridice şi fizice rezidenţi şi nerezidenţi ai  R. M.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A48BE">
              <w:rPr>
                <w:sz w:val="28"/>
                <w:szCs w:val="28"/>
                <w:lang w:val="en-US"/>
              </w:rPr>
              <w:t>Valoarea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estimată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acestori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bunuri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8BE" w:rsidRDefault="003A48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A48BE" w:rsidTr="003A48BE">
        <w:trPr>
          <w:trHeight w:val="201"/>
        </w:trPr>
        <w:tc>
          <w:tcPr>
            <w:tcW w:w="1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achitat de persoanelejuridiceşifiziceînregistrateîncalitate de întreprinzător.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Persoanele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fizice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113230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0,1%-0,3%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0,1%</w:t>
            </w:r>
          </w:p>
        </w:tc>
      </w:tr>
      <w:tr w:rsidR="003A48BE" w:rsidTr="003A48BE">
        <w:trPr>
          <w:trHeight w:val="134"/>
        </w:trPr>
        <w:tc>
          <w:tcPr>
            <w:tcW w:w="1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achitat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persoanele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fizice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Persoanele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fizice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113240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0,1%-0,3%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0,1%</w:t>
            </w:r>
          </w:p>
        </w:tc>
      </w:tr>
      <w:tr w:rsidR="003A48BE" w:rsidRPr="003A48BE" w:rsidTr="003A48BE">
        <w:trPr>
          <w:trHeight w:val="6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d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3A48BE">
              <w:rPr>
                <w:sz w:val="28"/>
                <w:szCs w:val="28"/>
                <w:lang w:val="en-US"/>
              </w:rPr>
              <w:t>Bunurile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imobiliare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altă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8BE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3A48BE">
              <w:rPr>
                <w:sz w:val="28"/>
                <w:szCs w:val="28"/>
                <w:lang w:val="en-US"/>
              </w:rPr>
              <w:t xml:space="preserve"> de c</w:t>
            </w:r>
            <w:r>
              <w:rPr>
                <w:sz w:val="28"/>
                <w:szCs w:val="28"/>
                <w:lang w:val="ro-RO"/>
              </w:rPr>
              <w:t>ît cea locativă sau agricolă, inclusiv exceptînd garajele şi terenurile pe care acestea sînt amplasate pe ele, care au valoarea de piaţă estimată: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Persoanele juridice şi fizice rezidenţii şi nerezidenţiiai R. M.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BE" w:rsidRDefault="003A48BE">
            <w:pP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BE" w:rsidRP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BE" w:rsidRDefault="003A48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A48BE" w:rsidTr="003A48BE">
        <w:trPr>
          <w:trHeight w:val="351"/>
        </w:trPr>
        <w:tc>
          <w:tcPr>
            <w:tcW w:w="1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BE" w:rsidRP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achitat de persoanelejuridiceşifiziceînregistrateîncalitate de întreprinzător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Persoanele juridice şi fizice rezidenţi şi nerezidenţiai R. M.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113230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0,1%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0,1%</w:t>
            </w:r>
          </w:p>
        </w:tc>
      </w:tr>
      <w:tr w:rsidR="003A48BE" w:rsidTr="003A48BE">
        <w:trPr>
          <w:trHeight w:val="161"/>
        </w:trPr>
        <w:tc>
          <w:tcPr>
            <w:tcW w:w="1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achitat de persoanele fizice-cetățeni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Persoanele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fizice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113240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0,1%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BE" w:rsidRDefault="003A48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0,1%</w:t>
            </w:r>
          </w:p>
        </w:tc>
      </w:tr>
      <w:tr w:rsidR="003A48BE" w:rsidTr="003A48BE">
        <w:trPr>
          <w:trHeight w:val="219"/>
        </w:trPr>
        <w:tc>
          <w:tcPr>
            <w:tcW w:w="14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BE" w:rsidRDefault="003A48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3A48BE" w:rsidRDefault="003A48BE" w:rsidP="003A48BE">
      <w:pPr>
        <w:rPr>
          <w:rFonts w:eastAsia="Times New Roman"/>
          <w:sz w:val="28"/>
          <w:szCs w:val="28"/>
          <w:lang w:val="en-US"/>
        </w:rPr>
      </w:pPr>
    </w:p>
    <w:p w:rsidR="003A48BE" w:rsidRDefault="003A48BE" w:rsidP="003A48BE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Notă: Înlesnirile la plata impozitului pe bunurile imobile care sunt acordate în baza art. 283 al Codului Fiscal</w:t>
      </w:r>
    </w:p>
    <w:p w:rsidR="003A48BE" w:rsidRDefault="003A48BE" w:rsidP="003A48BE">
      <w:pPr>
        <w:rPr>
          <w:b/>
          <w:sz w:val="28"/>
          <w:szCs w:val="28"/>
          <w:lang w:val="fr-FR"/>
        </w:rPr>
      </w:pPr>
    </w:p>
    <w:p w:rsidR="003A48BE" w:rsidRDefault="003A48BE" w:rsidP="003A48BE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</w:rPr>
        <w:t>Secretarul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Consiliului</w:t>
      </w:r>
      <w:proofErr w:type="spellEnd"/>
      <w:r>
        <w:rPr>
          <w:b/>
          <w:sz w:val="28"/>
          <w:szCs w:val="28"/>
        </w:rPr>
        <w:t xml:space="preserve">              ___________________                 </w:t>
      </w:r>
      <w:proofErr w:type="spellStart"/>
      <w:r>
        <w:rPr>
          <w:b/>
          <w:sz w:val="28"/>
          <w:szCs w:val="28"/>
        </w:rPr>
        <w:t>Oală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Galina</w:t>
      </w:r>
      <w:proofErr w:type="spellEnd"/>
    </w:p>
    <w:p w:rsidR="00FC64DB" w:rsidRDefault="00FC64DB"/>
    <w:sectPr w:rsidR="00FC64DB" w:rsidSect="003A48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48BE"/>
    <w:rsid w:val="003A48BE"/>
    <w:rsid w:val="00FC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Company>Microsoft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3</cp:revision>
  <dcterms:created xsi:type="dcterms:W3CDTF">2016-12-13T12:59:00Z</dcterms:created>
  <dcterms:modified xsi:type="dcterms:W3CDTF">2016-12-13T13:00:00Z</dcterms:modified>
</cp:coreProperties>
</file>