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2B" w:rsidRPr="00040E54" w:rsidRDefault="001F7AB8" w:rsidP="001F7AB8">
      <w:pPr>
        <w:jc w:val="right"/>
        <w:rPr>
          <w:sz w:val="28"/>
          <w:szCs w:val="28"/>
          <w:lang w:val="ro-RO"/>
        </w:rPr>
      </w:pPr>
      <w:r w:rsidRPr="00040E54">
        <w:rPr>
          <w:sz w:val="28"/>
          <w:szCs w:val="28"/>
          <w:lang w:val="ro-RO"/>
        </w:rPr>
        <w:tab/>
      </w:r>
    </w:p>
    <w:p w:rsidR="001F7AB8" w:rsidRPr="00637E59" w:rsidRDefault="00167CFF" w:rsidP="001F7AB8">
      <w:pPr>
        <w:jc w:val="right"/>
        <w:rPr>
          <w:sz w:val="28"/>
          <w:szCs w:val="28"/>
          <w:lang w:val="fr-FR"/>
        </w:rPr>
      </w:pPr>
      <w:r w:rsidRPr="00637E59">
        <w:rPr>
          <w:sz w:val="28"/>
          <w:szCs w:val="28"/>
          <w:lang w:val="fr-FR"/>
        </w:rPr>
        <w:t>Anexa nr.1</w:t>
      </w:r>
    </w:p>
    <w:p w:rsidR="001F7AB8" w:rsidRPr="00637E59" w:rsidRDefault="00B326AC" w:rsidP="00B326AC">
      <w:pPr>
        <w:jc w:val="right"/>
        <w:rPr>
          <w:sz w:val="28"/>
          <w:szCs w:val="28"/>
          <w:lang w:val="fr-FR"/>
        </w:rPr>
      </w:pPr>
      <w:r w:rsidRPr="00637E59">
        <w:rPr>
          <w:sz w:val="28"/>
          <w:szCs w:val="28"/>
          <w:lang w:val="fr-FR"/>
        </w:rPr>
        <w:t>L</w:t>
      </w:r>
      <w:r w:rsidR="00DD3F87" w:rsidRPr="00637E59">
        <w:rPr>
          <w:sz w:val="28"/>
          <w:szCs w:val="28"/>
          <w:lang w:val="fr-FR"/>
        </w:rPr>
        <w:t>a</w:t>
      </w:r>
      <w:r w:rsidRPr="00637E59">
        <w:rPr>
          <w:sz w:val="28"/>
          <w:szCs w:val="28"/>
          <w:lang w:val="fr-FR"/>
        </w:rPr>
        <w:t xml:space="preserve"> </w:t>
      </w:r>
      <w:r w:rsidR="00DD3F87" w:rsidRPr="00637E59">
        <w:rPr>
          <w:sz w:val="28"/>
          <w:szCs w:val="28"/>
          <w:lang w:val="fr-FR"/>
        </w:rPr>
        <w:t>decizia</w:t>
      </w:r>
      <w:r w:rsidRPr="00637E59">
        <w:rPr>
          <w:sz w:val="28"/>
          <w:szCs w:val="28"/>
          <w:lang w:val="fr-FR"/>
        </w:rPr>
        <w:t xml:space="preserve"> C</w:t>
      </w:r>
      <w:r w:rsidR="00DD3F87" w:rsidRPr="00637E59">
        <w:rPr>
          <w:sz w:val="28"/>
          <w:szCs w:val="28"/>
          <w:lang w:val="fr-FR"/>
        </w:rPr>
        <w:t>onsiliului nr.10/</w:t>
      </w:r>
      <w:r w:rsidR="0070591A" w:rsidRPr="00637E59">
        <w:rPr>
          <w:sz w:val="28"/>
          <w:szCs w:val="28"/>
          <w:lang w:val="fr-FR"/>
        </w:rPr>
        <w:t>2</w:t>
      </w:r>
      <w:r w:rsidR="00DD3F87" w:rsidRPr="00637E59">
        <w:rPr>
          <w:sz w:val="28"/>
          <w:szCs w:val="28"/>
          <w:lang w:val="fr-FR"/>
        </w:rPr>
        <w:t xml:space="preserve">  din 06.12.2016</w:t>
      </w:r>
    </w:p>
    <w:p w:rsidR="00167CFF" w:rsidRPr="00637E59" w:rsidRDefault="00167CFF" w:rsidP="001F7AB8">
      <w:pPr>
        <w:jc w:val="center"/>
        <w:rPr>
          <w:b/>
          <w:sz w:val="28"/>
          <w:szCs w:val="28"/>
          <w:lang w:val="fr-FR"/>
        </w:rPr>
      </w:pPr>
    </w:p>
    <w:p w:rsidR="001F7AB8" w:rsidRPr="00637E59" w:rsidRDefault="001F7AB8" w:rsidP="001F7AB8">
      <w:pPr>
        <w:jc w:val="center"/>
        <w:rPr>
          <w:b/>
          <w:sz w:val="28"/>
          <w:szCs w:val="28"/>
          <w:lang w:val="fr-FR"/>
        </w:rPr>
      </w:pPr>
      <w:r w:rsidRPr="00637E59">
        <w:rPr>
          <w:b/>
          <w:sz w:val="28"/>
          <w:szCs w:val="28"/>
          <w:lang w:val="fr-FR"/>
        </w:rPr>
        <w:t>Cotele concrete ale impozitului</w:t>
      </w:r>
      <w:r w:rsidR="00722577" w:rsidRPr="00637E59">
        <w:rPr>
          <w:b/>
          <w:sz w:val="28"/>
          <w:szCs w:val="28"/>
          <w:lang w:val="fr-FR"/>
        </w:rPr>
        <w:t xml:space="preserve"> </w:t>
      </w:r>
      <w:r w:rsidRPr="00637E59">
        <w:rPr>
          <w:b/>
          <w:sz w:val="28"/>
          <w:szCs w:val="28"/>
          <w:lang w:val="fr-FR"/>
        </w:rPr>
        <w:t>funciar</w:t>
      </w:r>
      <w:r w:rsidR="00722577" w:rsidRPr="00637E59">
        <w:rPr>
          <w:b/>
          <w:sz w:val="28"/>
          <w:szCs w:val="28"/>
          <w:lang w:val="fr-FR"/>
        </w:rPr>
        <w:t xml:space="preserve"> </w:t>
      </w:r>
      <w:r w:rsidRPr="00637E59">
        <w:rPr>
          <w:b/>
          <w:sz w:val="28"/>
          <w:szCs w:val="28"/>
          <w:lang w:val="fr-FR"/>
        </w:rPr>
        <w:t>stabilite</w:t>
      </w:r>
      <w:r w:rsidR="00722577" w:rsidRPr="00637E59">
        <w:rPr>
          <w:b/>
          <w:sz w:val="28"/>
          <w:szCs w:val="28"/>
          <w:lang w:val="fr-FR"/>
        </w:rPr>
        <w:t xml:space="preserve"> </w:t>
      </w:r>
      <w:r w:rsidRPr="00637E59">
        <w:rPr>
          <w:b/>
          <w:sz w:val="28"/>
          <w:szCs w:val="28"/>
          <w:lang w:val="fr-FR"/>
        </w:rPr>
        <w:t>pentru</w:t>
      </w:r>
      <w:r w:rsidR="00722577" w:rsidRPr="00637E59">
        <w:rPr>
          <w:b/>
          <w:sz w:val="28"/>
          <w:szCs w:val="28"/>
          <w:lang w:val="fr-FR"/>
        </w:rPr>
        <w:t xml:space="preserve"> </w:t>
      </w:r>
      <w:r w:rsidR="00645E7E" w:rsidRPr="00637E59">
        <w:rPr>
          <w:b/>
          <w:sz w:val="28"/>
          <w:szCs w:val="28"/>
          <w:lang w:val="fr-FR"/>
        </w:rPr>
        <w:t>anul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620"/>
        <w:gridCol w:w="1170"/>
        <w:gridCol w:w="8280"/>
        <w:gridCol w:w="1531"/>
        <w:gridCol w:w="1619"/>
      </w:tblGrid>
      <w:tr w:rsidR="001F7AB8" w:rsidRPr="00040E54" w:rsidTr="00F2581D">
        <w:tc>
          <w:tcPr>
            <w:tcW w:w="558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40E54">
              <w:rPr>
                <w:b/>
                <w:sz w:val="28"/>
                <w:szCs w:val="28"/>
              </w:rPr>
              <w:t>Nr.d</w:t>
            </w:r>
            <w:proofErr w:type="spellEnd"/>
            <w:r w:rsidRPr="00040E54">
              <w:rPr>
                <w:b/>
                <w:sz w:val="28"/>
                <w:szCs w:val="28"/>
              </w:rPr>
              <w:t>/o</w:t>
            </w:r>
          </w:p>
        </w:tc>
        <w:tc>
          <w:tcPr>
            <w:tcW w:w="1620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40E54">
              <w:rPr>
                <w:b/>
                <w:sz w:val="28"/>
                <w:szCs w:val="28"/>
              </w:rPr>
              <w:t>Denumirea</w:t>
            </w:r>
            <w:proofErr w:type="spellEnd"/>
            <w:r w:rsidR="00722577" w:rsidRPr="00040E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b/>
                <w:sz w:val="28"/>
                <w:szCs w:val="28"/>
              </w:rPr>
              <w:t>indicatorului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b/>
                <w:sz w:val="28"/>
                <w:szCs w:val="28"/>
              </w:rPr>
            </w:pPr>
            <w:r w:rsidRPr="00040E54">
              <w:rPr>
                <w:b/>
                <w:sz w:val="28"/>
                <w:szCs w:val="28"/>
              </w:rPr>
              <w:t>Capitol/</w:t>
            </w:r>
          </w:p>
          <w:p w:rsidR="001F7AB8" w:rsidRPr="00040E54" w:rsidRDefault="001F7AB8" w:rsidP="00F258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40E54">
              <w:rPr>
                <w:b/>
                <w:sz w:val="28"/>
                <w:szCs w:val="28"/>
              </w:rPr>
              <w:t>paragraf</w:t>
            </w:r>
            <w:proofErr w:type="spellEnd"/>
          </w:p>
        </w:tc>
        <w:tc>
          <w:tcPr>
            <w:tcW w:w="8280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40E54">
              <w:rPr>
                <w:b/>
                <w:sz w:val="28"/>
                <w:szCs w:val="28"/>
              </w:rPr>
              <w:t>Obiectivele</w:t>
            </w:r>
            <w:proofErr w:type="spellEnd"/>
            <w:r w:rsidR="00722577" w:rsidRPr="00040E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b/>
                <w:sz w:val="28"/>
                <w:szCs w:val="28"/>
              </w:rPr>
              <w:t>impunerii</w:t>
            </w:r>
            <w:proofErr w:type="spellEnd"/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040E54">
              <w:rPr>
                <w:b/>
                <w:sz w:val="28"/>
                <w:szCs w:val="28"/>
              </w:rPr>
              <w:t>Suprafa</w:t>
            </w:r>
            <w:proofErr w:type="spellEnd"/>
            <w:r w:rsidRPr="00040E54">
              <w:rPr>
                <w:b/>
                <w:sz w:val="28"/>
                <w:szCs w:val="28"/>
                <w:lang w:val="ro-RO"/>
              </w:rPr>
              <w:t>ţa</w:t>
            </w:r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40E54">
              <w:rPr>
                <w:b/>
                <w:sz w:val="28"/>
                <w:szCs w:val="28"/>
              </w:rPr>
              <w:t>Cota</w:t>
            </w:r>
            <w:proofErr w:type="spellEnd"/>
            <w:r w:rsidR="00722577" w:rsidRPr="00040E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b/>
                <w:sz w:val="28"/>
                <w:szCs w:val="28"/>
              </w:rPr>
              <w:t>impozitului</w:t>
            </w:r>
            <w:proofErr w:type="spellEnd"/>
            <w:r w:rsidRPr="00040E54">
              <w:rPr>
                <w:b/>
                <w:sz w:val="28"/>
                <w:szCs w:val="28"/>
              </w:rPr>
              <w:t xml:space="preserve"> (lei)</w:t>
            </w:r>
          </w:p>
        </w:tc>
      </w:tr>
      <w:tr w:rsidR="001F7AB8" w:rsidRPr="00040E54" w:rsidTr="00F2581D">
        <w:tc>
          <w:tcPr>
            <w:tcW w:w="558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</w:t>
            </w: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proofErr w:type="spellStart"/>
            <w:r w:rsidRPr="00040E54">
              <w:rPr>
                <w:sz w:val="28"/>
                <w:szCs w:val="28"/>
              </w:rPr>
              <w:t>Terenurile</w:t>
            </w:r>
            <w:proofErr w:type="spellEnd"/>
            <w:r w:rsidRPr="00040E54">
              <w:rPr>
                <w:sz w:val="28"/>
                <w:szCs w:val="28"/>
              </w:rPr>
              <w:t xml:space="preserve"> cu </w:t>
            </w:r>
            <w:proofErr w:type="spellStart"/>
            <w:r w:rsidRPr="00040E54">
              <w:rPr>
                <w:sz w:val="28"/>
                <w:szCs w:val="28"/>
              </w:rPr>
              <w:t>destinaţieagricolă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113110</w:t>
            </w: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113120</w:t>
            </w:r>
          </w:p>
        </w:tc>
        <w:tc>
          <w:tcPr>
            <w:tcW w:w="8280" w:type="dxa"/>
            <w:shd w:val="clear" w:color="auto" w:fill="auto"/>
          </w:tcPr>
          <w:p w:rsidR="001F7AB8" w:rsidRPr="00040E54" w:rsidRDefault="001F7AB8" w:rsidP="007225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Toate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terenurile</w:t>
            </w:r>
            <w:proofErr w:type="spellEnd"/>
            <w:r w:rsidRPr="00040E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alte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decît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cele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destinate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722577" w:rsidRPr="00040E54">
              <w:rPr>
                <w:rFonts w:ascii="Times New Roman" w:hAnsi="Times New Roman"/>
                <w:sz w:val="28"/>
                <w:szCs w:val="28"/>
              </w:rPr>
              <w:t>f</w:t>
            </w:r>
            <w:r w:rsidRPr="00040E54">
              <w:rPr>
                <w:rFonts w:ascii="Times New Roman" w:hAnsi="Times New Roman"/>
                <w:sz w:val="28"/>
                <w:szCs w:val="28"/>
              </w:rPr>
              <w:t>ineţelor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şi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paşunilor</w:t>
            </w:r>
            <w:proofErr w:type="spellEnd"/>
            <w:r w:rsidRPr="00040E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</w:tr>
      <w:tr w:rsidR="001F7AB8" w:rsidRPr="00040E54" w:rsidTr="00F2581D"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shd w:val="clear" w:color="auto" w:fill="auto"/>
          </w:tcPr>
          <w:p w:rsidR="001F7AB8" w:rsidRPr="00040E54" w:rsidRDefault="001F7AB8" w:rsidP="00F2581D">
            <w:pPr>
              <w:rPr>
                <w:sz w:val="28"/>
                <w:szCs w:val="28"/>
                <w:lang w:val="ro-RO"/>
              </w:rPr>
            </w:pPr>
            <w:r w:rsidRPr="00040E54">
              <w:rPr>
                <w:sz w:val="28"/>
                <w:szCs w:val="28"/>
                <w:lang w:val="ro-RO"/>
              </w:rPr>
              <w:t>care au indici cadastrali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 grad-</w:t>
            </w:r>
            <w:proofErr w:type="spellStart"/>
            <w:r w:rsidRPr="00040E54">
              <w:rPr>
                <w:sz w:val="28"/>
                <w:szCs w:val="28"/>
              </w:rPr>
              <w:t>hectar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1,50</w:t>
            </w:r>
          </w:p>
        </w:tc>
      </w:tr>
      <w:tr w:rsidR="001F7AB8" w:rsidRPr="00040E54" w:rsidTr="00F2581D"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shd w:val="clear" w:color="auto" w:fill="auto"/>
          </w:tcPr>
          <w:p w:rsidR="001F7AB8" w:rsidRPr="00637E59" w:rsidRDefault="001F7AB8" w:rsidP="00F2581D">
            <w:pPr>
              <w:rPr>
                <w:sz w:val="28"/>
                <w:szCs w:val="28"/>
                <w:lang w:val="fr-FR"/>
              </w:rPr>
            </w:pPr>
            <w:r w:rsidRPr="00637E59">
              <w:rPr>
                <w:sz w:val="28"/>
                <w:szCs w:val="28"/>
                <w:lang w:val="fr-FR"/>
              </w:rPr>
              <w:t>care nu au indici</w:t>
            </w:r>
            <w:r w:rsidR="00722577" w:rsidRPr="00637E59">
              <w:rPr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sz w:val="28"/>
                <w:szCs w:val="28"/>
                <w:lang w:val="fr-FR"/>
              </w:rPr>
              <w:t>cadastrali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 xml:space="preserve">1 </w:t>
            </w:r>
            <w:proofErr w:type="spellStart"/>
            <w:r w:rsidRPr="00040E54">
              <w:rPr>
                <w:sz w:val="28"/>
                <w:szCs w:val="28"/>
              </w:rPr>
              <w:t>hectar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110,00</w:t>
            </w:r>
          </w:p>
        </w:tc>
      </w:tr>
      <w:tr w:rsidR="001F7AB8" w:rsidRPr="00040E54" w:rsidTr="00F2581D"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113150</w:t>
            </w:r>
          </w:p>
        </w:tc>
        <w:tc>
          <w:tcPr>
            <w:tcW w:w="8280" w:type="dxa"/>
            <w:shd w:val="clear" w:color="auto" w:fill="auto"/>
          </w:tcPr>
          <w:p w:rsidR="001F7AB8" w:rsidRPr="00040E54" w:rsidRDefault="001F7AB8" w:rsidP="001F7A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Terenurile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destinate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fineţelor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şi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păşunilor</w:t>
            </w:r>
            <w:proofErr w:type="spellEnd"/>
            <w:r w:rsidRPr="00040E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</w:tr>
      <w:tr w:rsidR="001F7AB8" w:rsidRPr="00040E54" w:rsidTr="00F2581D">
        <w:trPr>
          <w:trHeight w:val="255"/>
        </w:trPr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shd w:val="clear" w:color="auto" w:fill="auto"/>
          </w:tcPr>
          <w:p w:rsidR="001F7AB8" w:rsidRPr="00040E54" w:rsidRDefault="001F7AB8" w:rsidP="00F2581D">
            <w:pPr>
              <w:rPr>
                <w:sz w:val="28"/>
                <w:szCs w:val="28"/>
              </w:rPr>
            </w:pPr>
            <w:proofErr w:type="spellStart"/>
            <w:r w:rsidRPr="00040E54">
              <w:rPr>
                <w:sz w:val="28"/>
                <w:szCs w:val="28"/>
              </w:rPr>
              <w:t>care</w:t>
            </w:r>
            <w:proofErr w:type="spellEnd"/>
            <w:r w:rsidRPr="00040E54">
              <w:rPr>
                <w:sz w:val="28"/>
                <w:szCs w:val="28"/>
              </w:rPr>
              <w:t xml:space="preserve"> au </w:t>
            </w:r>
            <w:proofErr w:type="spellStart"/>
            <w:r w:rsidRPr="00040E54">
              <w:rPr>
                <w:sz w:val="28"/>
                <w:szCs w:val="28"/>
              </w:rPr>
              <w:t>indici</w:t>
            </w:r>
            <w:proofErr w:type="spellEnd"/>
            <w:r w:rsidR="00722577" w:rsidRPr="00040E54">
              <w:rPr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sz w:val="28"/>
                <w:szCs w:val="28"/>
              </w:rPr>
              <w:t>cadastrali</w:t>
            </w:r>
            <w:proofErr w:type="spellEnd"/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 grad-</w:t>
            </w:r>
            <w:proofErr w:type="spellStart"/>
            <w:r w:rsidRPr="00040E54">
              <w:rPr>
                <w:sz w:val="28"/>
                <w:szCs w:val="28"/>
              </w:rPr>
              <w:t>hectar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0,75</w:t>
            </w:r>
          </w:p>
        </w:tc>
      </w:tr>
      <w:tr w:rsidR="001F7AB8" w:rsidRPr="00040E54" w:rsidTr="00F2581D">
        <w:trPr>
          <w:trHeight w:val="330"/>
        </w:trPr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shd w:val="clear" w:color="auto" w:fill="auto"/>
          </w:tcPr>
          <w:p w:rsidR="001F7AB8" w:rsidRPr="00637E59" w:rsidRDefault="001F7AB8" w:rsidP="00F2581D">
            <w:pPr>
              <w:rPr>
                <w:sz w:val="28"/>
                <w:szCs w:val="28"/>
                <w:lang w:val="fr-FR"/>
              </w:rPr>
            </w:pPr>
            <w:r w:rsidRPr="00637E59">
              <w:rPr>
                <w:sz w:val="28"/>
                <w:szCs w:val="28"/>
                <w:lang w:val="fr-FR"/>
              </w:rPr>
              <w:t>care nu au indici</w:t>
            </w:r>
            <w:r w:rsidR="00722577" w:rsidRPr="00637E59">
              <w:rPr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sz w:val="28"/>
                <w:szCs w:val="28"/>
                <w:lang w:val="fr-FR"/>
              </w:rPr>
              <w:t>cadastrali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 xml:space="preserve">1 </w:t>
            </w:r>
            <w:proofErr w:type="spellStart"/>
            <w:r w:rsidRPr="00040E54">
              <w:rPr>
                <w:sz w:val="28"/>
                <w:szCs w:val="28"/>
              </w:rPr>
              <w:t>hectar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55,00</w:t>
            </w:r>
          </w:p>
        </w:tc>
      </w:tr>
      <w:tr w:rsidR="001F7AB8" w:rsidRPr="00040E54" w:rsidTr="00F2581D"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113110</w:t>
            </w: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113120</w:t>
            </w:r>
          </w:p>
        </w:tc>
        <w:tc>
          <w:tcPr>
            <w:tcW w:w="8280" w:type="dxa"/>
            <w:shd w:val="clear" w:color="auto" w:fill="auto"/>
          </w:tcPr>
          <w:p w:rsidR="001F7AB8" w:rsidRPr="00040E54" w:rsidRDefault="001F7AB8" w:rsidP="001F7A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Terenurile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ocupate de obiecte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acvatice ( iazuri,lacuri etc. </w:t>
            </w:r>
            <w:r w:rsidRPr="00040E5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suprafaţa</w:t>
            </w:r>
            <w:proofErr w:type="spellEnd"/>
            <w:r w:rsidR="00722577" w:rsidRPr="0004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E54">
              <w:rPr>
                <w:rFonts w:ascii="Times New Roman" w:hAnsi="Times New Roman"/>
                <w:sz w:val="28"/>
                <w:szCs w:val="28"/>
              </w:rPr>
              <w:t>acvatică</w:t>
            </w:r>
            <w:proofErr w:type="spellEnd"/>
            <w:r w:rsidRPr="00040E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 xml:space="preserve">1 </w:t>
            </w:r>
            <w:proofErr w:type="spellStart"/>
            <w:r w:rsidRPr="00040E54">
              <w:rPr>
                <w:sz w:val="28"/>
                <w:szCs w:val="28"/>
              </w:rPr>
              <w:t>hectar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115,00</w:t>
            </w:r>
          </w:p>
        </w:tc>
      </w:tr>
      <w:tr w:rsidR="001F7AB8" w:rsidRPr="00040E54" w:rsidTr="00F2581D">
        <w:tc>
          <w:tcPr>
            <w:tcW w:w="558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proofErr w:type="spellStart"/>
            <w:r w:rsidRPr="00040E54">
              <w:rPr>
                <w:sz w:val="28"/>
                <w:szCs w:val="28"/>
              </w:rPr>
              <w:t>Terenurile</w:t>
            </w:r>
            <w:proofErr w:type="spellEnd"/>
            <w:r w:rsidRPr="00040E54">
              <w:rPr>
                <w:sz w:val="28"/>
                <w:szCs w:val="28"/>
              </w:rPr>
              <w:t xml:space="preserve"> din </w:t>
            </w:r>
            <w:proofErr w:type="spellStart"/>
            <w:r w:rsidRPr="00040E54">
              <w:rPr>
                <w:sz w:val="28"/>
                <w:szCs w:val="28"/>
              </w:rPr>
              <w:t>intravilan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113140</w:t>
            </w:r>
          </w:p>
        </w:tc>
        <w:tc>
          <w:tcPr>
            <w:tcW w:w="8280" w:type="dxa"/>
            <w:shd w:val="clear" w:color="auto" w:fill="auto"/>
          </w:tcPr>
          <w:p w:rsidR="001F7AB8" w:rsidRPr="00637E59" w:rsidRDefault="001F7AB8" w:rsidP="001F7AB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Terenurile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pe care sînt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amplasate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fondul de locuinţe, loturile de pe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lîngădomiciliu (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inclusive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terenurile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atribuite de către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autoritatea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administraţiei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publice locale ca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loturi de pe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lîngă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domiciliu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şi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distribuite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îne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xtravilan, din cauz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ainsuficienţei de terenuri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în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intravilan)  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 xml:space="preserve">100 </w:t>
            </w:r>
            <w:proofErr w:type="spellStart"/>
            <w:r w:rsidRPr="00040E54">
              <w:rPr>
                <w:sz w:val="28"/>
                <w:szCs w:val="28"/>
              </w:rPr>
              <w:t>metripătraţi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  <w:lang w:val="ru-RU"/>
              </w:rPr>
              <w:t>1</w:t>
            </w:r>
            <w:r w:rsidRPr="00040E54">
              <w:rPr>
                <w:sz w:val="28"/>
                <w:szCs w:val="28"/>
              </w:rPr>
              <w:t>,00</w:t>
            </w:r>
          </w:p>
        </w:tc>
      </w:tr>
      <w:tr w:rsidR="001F7AB8" w:rsidRPr="00040E54" w:rsidTr="00F2581D"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113110</w:t>
            </w:r>
          </w:p>
        </w:tc>
        <w:tc>
          <w:tcPr>
            <w:tcW w:w="8280" w:type="dxa"/>
            <w:shd w:val="clear" w:color="auto" w:fill="auto"/>
          </w:tcPr>
          <w:p w:rsidR="001F7AB8" w:rsidRPr="00637E59" w:rsidRDefault="001F7AB8" w:rsidP="001F7AB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Terenurile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destinate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în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treprinderilor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agricole, alte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terenuri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neevaluate de către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organelle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cadastrale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teritoriale conform valorii estimate.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 xml:space="preserve">100 </w:t>
            </w:r>
            <w:proofErr w:type="spellStart"/>
            <w:r w:rsidRPr="00040E54">
              <w:rPr>
                <w:sz w:val="28"/>
                <w:szCs w:val="28"/>
              </w:rPr>
              <w:t>metripătraţi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10,00</w:t>
            </w:r>
          </w:p>
        </w:tc>
      </w:tr>
      <w:tr w:rsidR="001F7AB8" w:rsidRPr="00040E54" w:rsidTr="00F2581D">
        <w:tc>
          <w:tcPr>
            <w:tcW w:w="558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proofErr w:type="spellStart"/>
            <w:r w:rsidRPr="00040E54">
              <w:rPr>
                <w:sz w:val="28"/>
                <w:szCs w:val="28"/>
              </w:rPr>
              <w:t>Terenurile</w:t>
            </w:r>
            <w:proofErr w:type="spellEnd"/>
            <w:r w:rsidRPr="00040E54">
              <w:rPr>
                <w:sz w:val="28"/>
                <w:szCs w:val="28"/>
              </w:rPr>
              <w:t xml:space="preserve"> din </w:t>
            </w:r>
            <w:proofErr w:type="spellStart"/>
            <w:r w:rsidRPr="00040E54">
              <w:rPr>
                <w:sz w:val="28"/>
                <w:szCs w:val="28"/>
              </w:rPr>
              <w:t>extravilan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113130</w:t>
            </w:r>
          </w:p>
        </w:tc>
        <w:tc>
          <w:tcPr>
            <w:tcW w:w="8280" w:type="dxa"/>
            <w:shd w:val="clear" w:color="auto" w:fill="auto"/>
          </w:tcPr>
          <w:p w:rsidR="001F7AB8" w:rsidRPr="00637E59" w:rsidRDefault="001F7AB8" w:rsidP="001F7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Terenurile din extravilan, altele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de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cît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cele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specificate la ptc. b) , neevaluate de către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organelle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cadastrale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teritoriale conform valorii estimate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 xml:space="preserve">1 </w:t>
            </w:r>
            <w:proofErr w:type="spellStart"/>
            <w:r w:rsidRPr="00040E54">
              <w:rPr>
                <w:sz w:val="28"/>
                <w:szCs w:val="28"/>
              </w:rPr>
              <w:t>hectar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70,00</w:t>
            </w:r>
          </w:p>
        </w:tc>
      </w:tr>
      <w:tr w:rsidR="001F7AB8" w:rsidRPr="00040E54" w:rsidTr="00F2581D">
        <w:tc>
          <w:tcPr>
            <w:tcW w:w="558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shd w:val="clear" w:color="auto" w:fill="auto"/>
          </w:tcPr>
          <w:p w:rsidR="001F7AB8" w:rsidRPr="00637E59" w:rsidRDefault="001F7AB8" w:rsidP="001F7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Terenurile din extravilan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pe care sunt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amplasate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clă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diri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şi</w:t>
            </w:r>
            <w:r w:rsidR="00722577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co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nstrucţii, carierele</w:t>
            </w:r>
            <w:r w:rsidR="00040E54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şi</w:t>
            </w:r>
            <w:r w:rsidR="00040E54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pămînturile</w:t>
            </w:r>
            <w:r w:rsidR="00040E54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distruse</w:t>
            </w:r>
            <w:r w:rsidR="00040E54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în</w:t>
            </w:r>
            <w:r w:rsidR="00040E54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urmaactivităţii de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producţie, neevaluate de către</w:t>
            </w:r>
            <w:r w:rsidR="00040E54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organelle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cadastrale</w:t>
            </w:r>
            <w:r w:rsidR="00040E54" w:rsidRPr="00637E5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637E59">
              <w:rPr>
                <w:rFonts w:ascii="Times New Roman" w:hAnsi="Times New Roman"/>
                <w:sz w:val="28"/>
                <w:szCs w:val="28"/>
                <w:lang w:val="fr-FR"/>
              </w:rPr>
              <w:t>teritoriale conform valorii estimate.</w:t>
            </w:r>
          </w:p>
        </w:tc>
        <w:tc>
          <w:tcPr>
            <w:tcW w:w="1531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040E54">
              <w:rPr>
                <w:sz w:val="28"/>
                <w:szCs w:val="28"/>
              </w:rPr>
              <w:t>hectar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1F7AB8" w:rsidRPr="00040E54" w:rsidRDefault="001F7AB8" w:rsidP="00F2581D">
            <w:pPr>
              <w:jc w:val="center"/>
              <w:rPr>
                <w:sz w:val="28"/>
                <w:szCs w:val="28"/>
              </w:rPr>
            </w:pPr>
            <w:r w:rsidRPr="00040E54">
              <w:rPr>
                <w:sz w:val="28"/>
                <w:szCs w:val="28"/>
              </w:rPr>
              <w:t>350,00</w:t>
            </w:r>
          </w:p>
        </w:tc>
      </w:tr>
    </w:tbl>
    <w:p w:rsidR="00C71E6B" w:rsidRDefault="00C71E6B" w:rsidP="001F7AB8">
      <w:pPr>
        <w:rPr>
          <w:b/>
          <w:sz w:val="28"/>
          <w:szCs w:val="28"/>
        </w:rPr>
      </w:pPr>
    </w:p>
    <w:p w:rsidR="0070591A" w:rsidRPr="00040E54" w:rsidRDefault="0070591A" w:rsidP="0070591A">
      <w:pPr>
        <w:rPr>
          <w:b/>
          <w:sz w:val="28"/>
          <w:szCs w:val="28"/>
        </w:rPr>
      </w:pPr>
      <w:proofErr w:type="spellStart"/>
      <w:r w:rsidRPr="00040E54">
        <w:rPr>
          <w:b/>
          <w:sz w:val="28"/>
          <w:szCs w:val="28"/>
        </w:rPr>
        <w:t>Notă</w:t>
      </w:r>
      <w:proofErr w:type="gramStart"/>
      <w:r w:rsidRPr="00040E54">
        <w:rPr>
          <w:b/>
          <w:sz w:val="28"/>
          <w:szCs w:val="28"/>
        </w:rPr>
        <w:t>:</w:t>
      </w:r>
      <w:r w:rsidRPr="00040E54">
        <w:rPr>
          <w:sz w:val="28"/>
          <w:szCs w:val="28"/>
        </w:rPr>
        <w:t>conform</w:t>
      </w:r>
      <w:proofErr w:type="spellEnd"/>
      <w:proofErr w:type="gramEnd"/>
      <w:r w:rsidRPr="00040E54">
        <w:rPr>
          <w:sz w:val="28"/>
          <w:szCs w:val="28"/>
        </w:rPr>
        <w:t xml:space="preserve"> art.283,284</w:t>
      </w:r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</w:t>
      </w:r>
      <w:proofErr w:type="spellEnd"/>
      <w:r>
        <w:rPr>
          <w:sz w:val="28"/>
          <w:szCs w:val="28"/>
        </w:rPr>
        <w:t xml:space="preserve"> VII </w:t>
      </w:r>
      <w:r w:rsidRPr="00040E54"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sătesc</w:t>
      </w:r>
      <w:proofErr w:type="spellEnd"/>
      <w:r w:rsidRPr="00040E54">
        <w:rPr>
          <w:sz w:val="28"/>
          <w:szCs w:val="28"/>
        </w:rPr>
        <w:t xml:space="preserve"> a </w:t>
      </w:r>
      <w:proofErr w:type="spellStart"/>
      <w:r w:rsidRPr="00040E54">
        <w:rPr>
          <w:sz w:val="28"/>
          <w:szCs w:val="28"/>
        </w:rPr>
        <w:t>scutit</w:t>
      </w:r>
      <w:proofErr w:type="spellEnd"/>
      <w:r w:rsidRPr="00040E54">
        <w:rPr>
          <w:sz w:val="28"/>
          <w:szCs w:val="28"/>
        </w:rPr>
        <w:t xml:space="preserve"> cu 50% </w:t>
      </w:r>
      <w:proofErr w:type="spellStart"/>
      <w:r w:rsidRPr="00040E54">
        <w:rPr>
          <w:sz w:val="28"/>
          <w:szCs w:val="28"/>
        </w:rPr>
        <w:t>cota</w:t>
      </w:r>
      <w:proofErr w:type="spellEnd"/>
      <w:r w:rsidRPr="00040E54">
        <w:rPr>
          <w:sz w:val="28"/>
          <w:szCs w:val="28"/>
        </w:rPr>
        <w:t xml:space="preserve"> de </w:t>
      </w:r>
      <w:proofErr w:type="spellStart"/>
      <w:r w:rsidRPr="00040E54">
        <w:rPr>
          <w:sz w:val="28"/>
          <w:szCs w:val="28"/>
        </w:rPr>
        <w:t>impozit</w:t>
      </w:r>
      <w:proofErr w:type="spellEnd"/>
      <w:r w:rsidRPr="00040E54">
        <w:rPr>
          <w:sz w:val="28"/>
          <w:szCs w:val="28"/>
        </w:rPr>
        <w:t xml:space="preserve"> la </w:t>
      </w:r>
      <w:proofErr w:type="spellStart"/>
      <w:r w:rsidRPr="00040E54">
        <w:rPr>
          <w:sz w:val="28"/>
          <w:szCs w:val="28"/>
        </w:rPr>
        <w:t>terenurile</w:t>
      </w:r>
      <w:proofErr w:type="spellEnd"/>
      <w:r w:rsidRPr="00040E54">
        <w:rPr>
          <w:sz w:val="28"/>
          <w:szCs w:val="28"/>
        </w:rPr>
        <w:t xml:space="preserve"> cu </w:t>
      </w:r>
      <w:proofErr w:type="spellStart"/>
      <w:r w:rsidRPr="00040E54">
        <w:rPr>
          <w:sz w:val="28"/>
          <w:szCs w:val="28"/>
        </w:rPr>
        <w:t>destinaţie</w:t>
      </w:r>
      <w:proofErr w:type="spellEnd"/>
      <w:r w:rsidRPr="00040E54"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agricolă</w:t>
      </w:r>
      <w:proofErr w:type="spellEnd"/>
      <w:r w:rsidRPr="00040E54">
        <w:rPr>
          <w:sz w:val="28"/>
          <w:szCs w:val="28"/>
        </w:rPr>
        <w:t xml:space="preserve"> lit . b)</w:t>
      </w:r>
      <w:r w:rsidR="00645E7E"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terenurile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destinate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fîneţelor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0E54">
        <w:rPr>
          <w:sz w:val="28"/>
          <w:szCs w:val="28"/>
        </w:rPr>
        <w:t>păşunilor</w:t>
      </w:r>
      <w:proofErr w:type="spellEnd"/>
      <w:r w:rsidRPr="00040E54">
        <w:rPr>
          <w:sz w:val="28"/>
          <w:szCs w:val="28"/>
        </w:rPr>
        <w:t xml:space="preserve"> care nu au </w:t>
      </w:r>
      <w:proofErr w:type="spellStart"/>
      <w:r w:rsidRPr="00040E54">
        <w:rPr>
          <w:sz w:val="28"/>
          <w:szCs w:val="28"/>
        </w:rPr>
        <w:t>indici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cadastrali</w:t>
      </w:r>
      <w:proofErr w:type="spellEnd"/>
      <w:r>
        <w:rPr>
          <w:sz w:val="28"/>
          <w:szCs w:val="28"/>
        </w:rPr>
        <w:t>.</w:t>
      </w:r>
    </w:p>
    <w:p w:rsidR="0070591A" w:rsidRDefault="0070591A" w:rsidP="001F7AB8">
      <w:pPr>
        <w:rPr>
          <w:b/>
          <w:sz w:val="28"/>
          <w:szCs w:val="28"/>
        </w:rPr>
      </w:pPr>
    </w:p>
    <w:p w:rsidR="001F7AB8" w:rsidRPr="00637E59" w:rsidRDefault="001F7AB8" w:rsidP="001F7AB8">
      <w:pPr>
        <w:rPr>
          <w:b/>
          <w:sz w:val="28"/>
          <w:szCs w:val="28"/>
          <w:lang w:val="fr-FR"/>
        </w:rPr>
      </w:pPr>
      <w:r w:rsidRPr="00637E59">
        <w:rPr>
          <w:b/>
          <w:sz w:val="28"/>
          <w:szCs w:val="28"/>
          <w:lang w:val="fr-FR"/>
        </w:rPr>
        <w:t>Secretarul</w:t>
      </w:r>
      <w:r w:rsidR="00DD3F87" w:rsidRPr="00637E59">
        <w:rPr>
          <w:b/>
          <w:sz w:val="28"/>
          <w:szCs w:val="28"/>
          <w:lang w:val="fr-FR"/>
        </w:rPr>
        <w:t xml:space="preserve"> </w:t>
      </w:r>
      <w:r w:rsidRPr="00637E59">
        <w:rPr>
          <w:b/>
          <w:sz w:val="28"/>
          <w:szCs w:val="28"/>
          <w:lang w:val="fr-FR"/>
        </w:rPr>
        <w:t>Consiliului</w:t>
      </w:r>
      <w:r w:rsidR="00DD3F87" w:rsidRPr="00637E59">
        <w:rPr>
          <w:b/>
          <w:sz w:val="28"/>
          <w:szCs w:val="28"/>
          <w:lang w:val="fr-FR"/>
        </w:rPr>
        <w:t xml:space="preserve">    </w:t>
      </w:r>
      <w:r w:rsidRPr="00637E59">
        <w:rPr>
          <w:b/>
          <w:sz w:val="28"/>
          <w:szCs w:val="28"/>
          <w:lang w:val="fr-FR"/>
        </w:rPr>
        <w:t>_____________________</w:t>
      </w:r>
      <w:r w:rsidR="00DD3F87" w:rsidRPr="00637E59">
        <w:rPr>
          <w:b/>
          <w:sz w:val="28"/>
          <w:szCs w:val="28"/>
          <w:lang w:val="fr-FR"/>
        </w:rPr>
        <w:t>Oală Galina</w:t>
      </w:r>
    </w:p>
    <w:p w:rsidR="00167CFF" w:rsidRPr="00637E59" w:rsidRDefault="00167CFF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CD158B" w:rsidRPr="00637E59" w:rsidRDefault="00CD158B" w:rsidP="001D0B2B">
      <w:pPr>
        <w:rPr>
          <w:sz w:val="24"/>
          <w:szCs w:val="24"/>
          <w:lang w:val="fr-FR"/>
        </w:rPr>
      </w:pPr>
    </w:p>
    <w:p w:rsidR="00CD158B" w:rsidRPr="00637E59" w:rsidRDefault="00CD158B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040E54" w:rsidRPr="00637E59" w:rsidRDefault="00040E54" w:rsidP="001D0B2B">
      <w:pPr>
        <w:rPr>
          <w:sz w:val="24"/>
          <w:szCs w:val="24"/>
          <w:lang w:val="fr-FR"/>
        </w:rPr>
      </w:pPr>
    </w:p>
    <w:p w:rsidR="00167CFF" w:rsidRPr="00637E59" w:rsidRDefault="00167CFF" w:rsidP="0070591A">
      <w:pPr>
        <w:rPr>
          <w:sz w:val="24"/>
          <w:szCs w:val="24"/>
          <w:lang w:val="fr-FR"/>
        </w:rPr>
      </w:pPr>
    </w:p>
    <w:p w:rsidR="00B326AC" w:rsidRPr="00637E59" w:rsidRDefault="00B326AC" w:rsidP="0070591A">
      <w:pPr>
        <w:rPr>
          <w:sz w:val="24"/>
          <w:szCs w:val="24"/>
          <w:lang w:val="fr-FR"/>
        </w:rPr>
      </w:pPr>
    </w:p>
    <w:p w:rsidR="006B7F86" w:rsidRDefault="006B7F86"/>
    <w:sectPr w:rsidR="006B7F86" w:rsidSect="00167CFF">
      <w:pgSz w:w="16838" w:h="11906" w:orient="landscape"/>
      <w:pgMar w:top="567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2FE"/>
    <w:multiLevelType w:val="hybridMultilevel"/>
    <w:tmpl w:val="E98E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6E45"/>
    <w:multiLevelType w:val="hybridMultilevel"/>
    <w:tmpl w:val="60344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52770"/>
    <w:multiLevelType w:val="hybridMultilevel"/>
    <w:tmpl w:val="0F4E8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47F41"/>
    <w:rsid w:val="00040E54"/>
    <w:rsid w:val="00042B31"/>
    <w:rsid w:val="00121C1A"/>
    <w:rsid w:val="001603F9"/>
    <w:rsid w:val="00167CFF"/>
    <w:rsid w:val="001D0B2B"/>
    <w:rsid w:val="001F7AB8"/>
    <w:rsid w:val="00251C9C"/>
    <w:rsid w:val="00295C95"/>
    <w:rsid w:val="00340037"/>
    <w:rsid w:val="00363689"/>
    <w:rsid w:val="00394433"/>
    <w:rsid w:val="004224C8"/>
    <w:rsid w:val="00465D07"/>
    <w:rsid w:val="004B42F2"/>
    <w:rsid w:val="005B1932"/>
    <w:rsid w:val="00637E59"/>
    <w:rsid w:val="00645E7E"/>
    <w:rsid w:val="006B7F86"/>
    <w:rsid w:val="0070591A"/>
    <w:rsid w:val="00722577"/>
    <w:rsid w:val="007833DC"/>
    <w:rsid w:val="00876254"/>
    <w:rsid w:val="008F7547"/>
    <w:rsid w:val="00947F41"/>
    <w:rsid w:val="00994989"/>
    <w:rsid w:val="00A72ADD"/>
    <w:rsid w:val="00B326AC"/>
    <w:rsid w:val="00B52F23"/>
    <w:rsid w:val="00C71E6B"/>
    <w:rsid w:val="00CD158B"/>
    <w:rsid w:val="00DD3F87"/>
    <w:rsid w:val="00E15FB4"/>
    <w:rsid w:val="00E7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2A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AD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2A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AD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SmartStudio</cp:lastModifiedBy>
  <cp:revision>23</cp:revision>
  <cp:lastPrinted>2016-09-05T09:02:00Z</cp:lastPrinted>
  <dcterms:created xsi:type="dcterms:W3CDTF">2016-08-25T05:45:00Z</dcterms:created>
  <dcterms:modified xsi:type="dcterms:W3CDTF">2016-12-13T12:51:00Z</dcterms:modified>
</cp:coreProperties>
</file>