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AE" w:rsidRPr="00427DAE" w:rsidRDefault="00427DAE" w:rsidP="00427DAE">
      <w:pPr>
        <w:shd w:val="clear" w:color="auto" w:fill="FFFFFF"/>
        <w:spacing w:after="150" w:line="240" w:lineRule="auto"/>
        <w:ind w:right="300"/>
        <w:jc w:val="right"/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</w:pPr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>Anexa</w:t>
      </w:r>
      <w:proofErr w:type="spellEnd"/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 xml:space="preserve"> nr.1 </w:t>
      </w:r>
    </w:p>
    <w:p w:rsidR="00427DAE" w:rsidRPr="00427DAE" w:rsidRDefault="00427DAE" w:rsidP="00427DAE">
      <w:pPr>
        <w:shd w:val="clear" w:color="auto" w:fill="FFFFFF"/>
        <w:spacing w:after="150" w:line="240" w:lineRule="auto"/>
        <w:ind w:right="300"/>
        <w:jc w:val="right"/>
        <w:rPr>
          <w:rFonts w:ascii="Arial" w:eastAsia="Times New Roman" w:hAnsi="Arial" w:cs="Arial"/>
          <w:bCs/>
          <w:i/>
          <w:color w:val="333333"/>
          <w:sz w:val="24"/>
          <w:szCs w:val="24"/>
          <w:lang w:val="ro-RO" w:eastAsia="ru-RU"/>
        </w:rPr>
      </w:pPr>
      <w:proofErr w:type="gramStart"/>
      <w:r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>l</w:t>
      </w:r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>a</w:t>
      </w:r>
      <w:proofErr w:type="gramEnd"/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>decizia</w:t>
      </w:r>
      <w:proofErr w:type="spellEnd"/>
      <w:r w:rsidRPr="00427DAE">
        <w:rPr>
          <w:rFonts w:ascii="Arial" w:eastAsia="Times New Roman" w:hAnsi="Arial" w:cs="Arial"/>
          <w:bCs/>
          <w:i/>
          <w:color w:val="333333"/>
          <w:sz w:val="24"/>
          <w:szCs w:val="24"/>
          <w:lang w:val="en-US" w:eastAsia="ru-RU"/>
        </w:rPr>
        <w:t xml:space="preserve"> nr.7/8 din 08.12.2020</w:t>
      </w:r>
    </w:p>
    <w:p w:rsidR="00427DAE" w:rsidRDefault="00427DAE" w:rsidP="00A45344">
      <w:pPr>
        <w:shd w:val="clear" w:color="auto" w:fill="FFFFFF"/>
        <w:spacing w:after="150" w:line="240" w:lineRule="auto"/>
        <w:ind w:right="30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</w:pPr>
    </w:p>
    <w:p w:rsidR="00427DAE" w:rsidRDefault="00427DAE" w:rsidP="00A45344">
      <w:pPr>
        <w:shd w:val="clear" w:color="auto" w:fill="FFFFFF"/>
        <w:spacing w:after="150" w:line="240" w:lineRule="auto"/>
        <w:ind w:right="30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</w:pP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jc w:val="center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Regulamentul</w:t>
      </w:r>
      <w:proofErr w:type="spellEnd"/>
    </w:p>
    <w:p w:rsidR="00A45344" w:rsidRPr="00A45344" w:rsidRDefault="00AA1929" w:rsidP="00A45344">
      <w:pPr>
        <w:shd w:val="clear" w:color="auto" w:fill="FFFFFF"/>
        <w:spacing w:after="150" w:line="240" w:lineRule="auto"/>
        <w:ind w:right="300"/>
        <w:jc w:val="center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activitate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Căminului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 Cultural</w:t>
      </w:r>
      <w:r w:rsidR="00A45344"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Rogojeni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Regulamentu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elaborat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conformitate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administrația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locală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Reglementările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modelului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Caselor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I.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Dispoziții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generale</w:t>
      </w:r>
      <w:proofErr w:type="spellEnd"/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1.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Concepte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bază</w:t>
      </w:r>
      <w:proofErr w:type="spellEnd"/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această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poziție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sunt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utilizate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următoarele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concept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o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care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desfășoară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cultural,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informare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educație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permanent,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reprezentând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serviciile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utilitate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funcționează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sub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autoritat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Consiliului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comunal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are ca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obiectiv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prioritar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vieții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populaț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iei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(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satelor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protejarea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promovarea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valorilor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patrimoniului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cultural,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identificarea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sprijinirea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talentelor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tinere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furnizarea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servicii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 2.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Domeniul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reglementare</w:t>
      </w:r>
      <w:proofErr w:type="spellEnd"/>
    </w:p>
    <w:p w:rsidR="00A45344" w:rsidRPr="00A45344" w:rsidRDefault="00EB5D33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  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subordonat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Consiliului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comunal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) -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organizării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activităților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sprijinului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financiar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material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tehnic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departamentului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politicii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metodologiei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 xml:space="preserve">   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lichidat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prin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decizia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Textul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deciziei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înființa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trebui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conțină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următoarele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 xml:space="preserve">    -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decizia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a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înființa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care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indice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locația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   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aprobarea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elaborat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conformitate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prevederele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model;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  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aprobarea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personalu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lui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baza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nevoilor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personalului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tipic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Casei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prevăzut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anexa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nr. 1,</w:t>
      </w:r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la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prezenta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prevedere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condițiile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necesare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funcționării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conformitate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legislația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vigoare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 xml:space="preserve">     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instrucțiuni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necesare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pentru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optimă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conformitate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legislația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vigoare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 xml:space="preserve">   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trebuie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stabilească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condițiile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lichidare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II.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Atribuțiile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drepturile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obligațiile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  de</w:t>
      </w:r>
      <w:proofErr w:type="gram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Cultura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Rogojeni</w:t>
      </w:r>
      <w:proofErr w:type="spellEnd"/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  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care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desfășoară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abilitat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următoarele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atribuții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lastRenderedPageBreak/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promovarea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toate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moderne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tradiționale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contribuie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realizarea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tuturor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proiectelor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comună</w:t>
      </w:r>
      <w:proofErr w:type="spellEnd"/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inițierea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sprijinirea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proiectelor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promovare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tradițiilor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obiceiurilor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locale,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meșteșugarilor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artei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autentice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conservarea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protejarea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valorificarea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tradiționale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scopul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păstrării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specificului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zonal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identității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etnoculturale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afirmarea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valorilor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stimularea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creativității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talentului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promovarea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dezvoltarea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cultural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turistice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dezvoltarea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parteneriatului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schimburilor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elaborarea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unor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proiecte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atractive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educației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promovarea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diversității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încurajarea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susținerea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tinerilor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talentați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afirmarea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egătirea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acreditării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formației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ansamblu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artistic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titlul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”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model” 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colaborarea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asociații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fundații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scopul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cunoașterii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valorificării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patrimoniului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național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internațional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asigurarea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accesului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dezvoltarea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socială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recreere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Formarea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culturală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populației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: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formațiilor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artistice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amatori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cluburilor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interese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cursurilor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seminarelor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atelierelor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tabelelor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concursurilor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(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literare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muzicale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coreografice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plastică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decorativ-aplicată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teatrală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, etc);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concertelor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spectacolelor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sărbătorilor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festivalurilor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expozițiilor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facilitarea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participării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colectivelor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titlu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“model”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festivaluri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concursuri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raionale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naționale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III.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Organizarea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activității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  de</w:t>
      </w:r>
      <w:proofErr w:type="gram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Cultura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Rogojeni</w:t>
      </w:r>
      <w:proofErr w:type="spellEnd"/>
    </w:p>
    <w:p w:rsidR="00A45344" w:rsidRPr="00A45344" w:rsidRDefault="00A675AE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 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organizează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baza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Regulamentului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programelor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anuale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trimestriale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. 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Programele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anuale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sunt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coordonate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primarul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proofErr w:type="gram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Sec</w:t>
      </w:r>
      <w:proofErr w:type="gram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ția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turism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tineret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sport a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Consiliului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raional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aprobate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  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Realizarea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programelor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reflectată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Registrul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evidență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care se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completează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lunar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către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Director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Caminului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.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Registrul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prezintă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informare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coordonare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primarului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Secției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turism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tineret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sport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Consiliului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raional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concomitent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prezentarea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rapoartelor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anuale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instanțe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ierarhic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superioare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solicitare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Programul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</w:t>
      </w:r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l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EB5D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cinci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z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ile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săptămînă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de la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10.00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pînă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20.00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:00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pauza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masa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la 14.00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ro-RO" w:eastAsia="ru-RU"/>
        </w:rPr>
        <w:t>pînă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ro-RO" w:eastAsia="ru-RU"/>
        </w:rPr>
        <w:t xml:space="preserve"> la 16.00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zile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de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odihnă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–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luni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,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marti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C26421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lastRenderedPageBreak/>
        <w:t>  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condus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Director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Caminului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.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Primarul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numeşte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stabileşte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atribuţiile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încetează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raporturile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serviciu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sau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muncă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cu 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Directorul</w:t>
      </w:r>
      <w:proofErr w:type="spellEnd"/>
      <w:proofErr w:type="gram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Caminului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angajaţi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subordinea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autorităţii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administraţiei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publice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locale. </w:t>
      </w:r>
      <w:proofErr w:type="gram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Conduce</w:t>
      </w:r>
      <w:proofErr w:type="gram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controlează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acestora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contribuie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formarea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reciclarea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profesională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Atribuții</w:t>
      </w:r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le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bază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ale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Directorul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Caminului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de </w:t>
      </w:r>
      <w:proofErr w:type="spellStart"/>
      <w:proofErr w:type="gramStart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Cultura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Rogojeni</w:t>
      </w:r>
      <w:proofErr w:type="spellEnd"/>
      <w:proofErr w:type="gramEnd"/>
      <w:r w:rsidR="00C26421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.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Asigură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Gestionează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patrimoni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ul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Elaborează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programe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asigură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realizarea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acestor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obiective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Conduce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nemijlocit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concret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distinct din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specifice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Creează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condiții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pentru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formațiilor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artistice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amatori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cercurilor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creație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atelierelor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meșteșugărit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meșterilor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cadrul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Întocmește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fișele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posturilor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urmărește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respectarea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atribuțiilor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concrete ale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personalului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subordine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Prezintă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ierarhice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superioare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dări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seamă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textuale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statistice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informații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referitoare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situația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Raportează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trimestrial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sau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necesitate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Secției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turism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tineret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sport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Consiliului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raional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primarului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despre</w:t>
      </w:r>
      <w:proofErr w:type="spellEnd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</w:t>
      </w:r>
      <w:proofErr w:type="spellEnd"/>
      <w:proofErr w:type="gram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>Obligațiile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 </w:t>
      </w:r>
      <w:r w:rsidR="00D055EF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ru-RU"/>
        </w:rPr>
        <w:t xml:space="preserve">Director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</w:p>
    <w:p w:rsidR="00A45344" w:rsidRPr="00D055EF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Directorul</w:t>
      </w:r>
      <w:proofErr w:type="spellEnd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Caminului</w:t>
      </w:r>
      <w:proofErr w:type="spellEnd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Cultural </w:t>
      </w:r>
      <w:proofErr w:type="spellStart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obligat.</w:t>
      </w:r>
    </w:p>
    <w:p w:rsidR="00A45344" w:rsidRPr="00A45344" w:rsidRDefault="00A45344" w:rsidP="00A45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respecte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Republicii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Moldova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prevederile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prezentului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Statut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prezinte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informațiile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corecte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timp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nu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încheie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contracte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fără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acordul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IV.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Baza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tehnico-meterială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asigurarea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financiară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  de</w:t>
      </w:r>
      <w:proofErr w:type="gram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Cultura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26421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Rogojeni</w:t>
      </w:r>
      <w:proofErr w:type="spellEnd"/>
    </w:p>
    <w:p w:rsidR="00A45344" w:rsidRPr="00A45344" w:rsidRDefault="00A675AE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asigurat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</w:t>
      </w:r>
      <w:proofErr w:type="gram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patrimoniul</w:t>
      </w:r>
      <w:proofErr w:type="spellEnd"/>
      <w:proofErr w:type="gram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Cultural,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spaţii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adecvate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activităţii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profil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dotări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corespunzătoare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necesităţilor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instrumentele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muzicale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costum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ele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naţionale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aparataj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onorizare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instalaţii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lumini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57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sedi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ul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îşi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pot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desfăşura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acordul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instituţii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organizaţii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menire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culturală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cu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profil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artistic (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studiouri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domeniile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muzică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dans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confecţionare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costumelor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populare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scenice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cinema,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imprimări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audio/video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şi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altele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)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fără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acestea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afecteze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bază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57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Acoperirea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cheltuielilor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pentru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întreţiner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Cultură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se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efectuează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sursele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bugetare</w:t>
      </w:r>
      <w:proofErr w:type="spellEnd"/>
      <w:r w:rsidR="00D055E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57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V. </w:t>
      </w:r>
      <w:proofErr w:type="spellStart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Dispoziții</w:t>
      </w:r>
      <w:proofErr w:type="spellEnd"/>
      <w:r w:rsidRPr="00A45344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finale</w:t>
      </w:r>
    </w:p>
    <w:p w:rsidR="00A45344" w:rsidRPr="00A45344" w:rsidRDefault="00A675AE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are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arhiva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proprie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care se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păstrează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conform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prevederilor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legale</w:t>
      </w:r>
      <w:proofErr w:type="spellEnd"/>
      <w:r w:rsidR="00A45344"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acte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normative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privind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lui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corespondența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lastRenderedPageBreak/>
        <w:t xml:space="preserve">-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alte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documente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potrivit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legii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Nerespectarea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prezentului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duce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sancționarea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ulterior la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concediere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, conform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legislației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vigoare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;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57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Primarul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comunei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are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dreptul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o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comisie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control a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activități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proofErr w:type="gram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 de</w:t>
      </w:r>
      <w:proofErr w:type="gram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și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în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caz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necesitate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poate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sancționa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angajați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Cultura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360" w:right="3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Contabilitatea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activelor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financiare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efectuată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departamentul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contabil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fondatorului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.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right="300"/>
        <w:jc w:val="righ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Anexa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nr.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1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6372" w:right="300"/>
        <w:jc w:val="righ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la</w:t>
      </w:r>
      <w:proofErr w:type="gram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Regulamentul</w:t>
      </w:r>
      <w:proofErr w:type="spellEnd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</w:t>
      </w:r>
    </w:p>
    <w:p w:rsidR="00A45344" w:rsidRPr="00A45344" w:rsidRDefault="00A45344" w:rsidP="00A45344">
      <w:pPr>
        <w:shd w:val="clear" w:color="auto" w:fill="FFFFFF"/>
        <w:spacing w:after="150" w:line="240" w:lineRule="auto"/>
        <w:ind w:left="4248" w:right="300"/>
        <w:jc w:val="righ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A4534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activitate</w:t>
      </w:r>
      <w:proofErr w:type="spellEnd"/>
      <w:proofErr w:type="gramEnd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Căminului</w:t>
      </w:r>
      <w:proofErr w:type="spellEnd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C53E1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ultură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Rogojeni</w:t>
      </w:r>
      <w:proofErr w:type="spellEnd"/>
      <w:r w:rsidR="00A675A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</w:p>
    <w:tbl>
      <w:tblPr>
        <w:tblW w:w="17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75"/>
        <w:gridCol w:w="2359"/>
        <w:gridCol w:w="2022"/>
        <w:gridCol w:w="2022"/>
        <w:gridCol w:w="2022"/>
        <w:gridCol w:w="1685"/>
      </w:tblGrid>
      <w:tr w:rsidR="00A45344" w:rsidRPr="00A45344" w:rsidTr="00A45344">
        <w:trPr>
          <w:trHeight w:val="360"/>
        </w:trPr>
        <w:tc>
          <w:tcPr>
            <w:tcW w:w="7275" w:type="dxa"/>
            <w:vMerge w:val="restar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Denumirile</w:t>
            </w:r>
            <w:proofErr w:type="spellEnd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funcţiilor</w:t>
            </w:r>
            <w:proofErr w:type="spellEnd"/>
          </w:p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0" w:type="dxa"/>
            <w:gridSpan w:val="5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Categoria</w:t>
            </w:r>
            <w:proofErr w:type="spellEnd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instituţiei</w:t>
            </w:r>
            <w:proofErr w:type="spellEnd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nr.unităţi</w:t>
            </w:r>
            <w:proofErr w:type="spellEnd"/>
          </w:p>
        </w:tc>
      </w:tr>
      <w:tr w:rsidR="00A45344" w:rsidRPr="00A45344" w:rsidTr="00A45344">
        <w:trPr>
          <w:trHeight w:val="465"/>
        </w:trPr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vAlign w:val="center"/>
            <w:hideMark/>
          </w:tcPr>
          <w:p w:rsidR="00A45344" w:rsidRPr="00A45344" w:rsidRDefault="00A45344" w:rsidP="00A4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5344" w:rsidRPr="00A45344" w:rsidTr="00A45344">
        <w:tc>
          <w:tcPr>
            <w:tcW w:w="72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7F6C8B" w:rsidRPr="00A45344" w:rsidRDefault="007F6C8B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5344" w:rsidRPr="00A45344" w:rsidRDefault="00D055EF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Caminului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Cultura</w:t>
            </w:r>
            <w:proofErr w:type="spellEnd"/>
            <w:r w:rsidR="007F6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</w:t>
            </w:r>
          </w:p>
          <w:p w:rsidR="00A45344" w:rsidRPr="00A45344" w:rsidRDefault="00A675AE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Conducător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artistic</w:t>
            </w:r>
          </w:p>
          <w:p w:rsid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Îngrijitor</w:t>
            </w:r>
            <w:proofErr w:type="spellEnd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încăpere</w:t>
            </w:r>
            <w:proofErr w:type="spellEnd"/>
          </w:p>
          <w:p w:rsidR="007F6C8B" w:rsidRDefault="007F6C8B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055EF" w:rsidRDefault="003A0A48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folclorica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titlu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model ,,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Cumatritele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,,</w:t>
            </w:r>
          </w:p>
          <w:p w:rsidR="003A0A48" w:rsidRDefault="003A0A48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artistic</w:t>
            </w:r>
          </w:p>
          <w:p w:rsidR="003A0A48" w:rsidRPr="00A45344" w:rsidRDefault="003A0A48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corepetitor</w:t>
            </w:r>
            <w:proofErr w:type="spellEnd"/>
          </w:p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7F6C8B" w:rsidP="007F6C8B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1</w:t>
            </w:r>
          </w:p>
          <w:p w:rsidR="00A45344" w:rsidRDefault="007F6C8B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1</w:t>
            </w:r>
          </w:p>
          <w:p w:rsidR="007F6C8B" w:rsidRPr="007F6C8B" w:rsidRDefault="007F6C8B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0,25</w:t>
            </w:r>
          </w:p>
          <w:p w:rsidR="00A45344" w:rsidRPr="007F6C8B" w:rsidRDefault="00A45344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5344" w:rsidRDefault="00A45344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6C8B" w:rsidRPr="007F6C8B" w:rsidRDefault="007F6C8B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5344" w:rsidRPr="00A675AE" w:rsidRDefault="003A0A48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  <w:p w:rsidR="00A45344" w:rsidRPr="003A0A48" w:rsidRDefault="003A0A48" w:rsidP="007F6C8B">
            <w:pPr>
              <w:spacing w:after="15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5344" w:rsidRPr="00A45344" w:rsidRDefault="00A45344" w:rsidP="00A45344">
            <w:pPr>
              <w:spacing w:after="15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1E49" w:rsidRPr="00A45344" w:rsidRDefault="00551E49">
      <w:pPr>
        <w:rPr>
          <w:lang w:val="en-US"/>
        </w:rPr>
      </w:pPr>
    </w:p>
    <w:sectPr w:rsidR="00551E49" w:rsidRPr="00A45344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661"/>
    <w:multiLevelType w:val="multilevel"/>
    <w:tmpl w:val="616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84DCF"/>
    <w:multiLevelType w:val="multilevel"/>
    <w:tmpl w:val="725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5344"/>
    <w:rsid w:val="003276C0"/>
    <w:rsid w:val="003A0A48"/>
    <w:rsid w:val="00427DAE"/>
    <w:rsid w:val="00551E49"/>
    <w:rsid w:val="006520BB"/>
    <w:rsid w:val="00681581"/>
    <w:rsid w:val="007F6C8B"/>
    <w:rsid w:val="007F764C"/>
    <w:rsid w:val="009E1193"/>
    <w:rsid w:val="00A45344"/>
    <w:rsid w:val="00A675AE"/>
    <w:rsid w:val="00A9008E"/>
    <w:rsid w:val="00AA1929"/>
    <w:rsid w:val="00C26421"/>
    <w:rsid w:val="00C53E1A"/>
    <w:rsid w:val="00D055EF"/>
    <w:rsid w:val="00EB5D33"/>
    <w:rsid w:val="00FD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3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346">
          <w:marLeft w:val="2379"/>
          <w:marRight w:val="2379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467E-2C26-43BF-9615-487BDFCB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2020-12-03T13:41:00Z</dcterms:created>
  <dcterms:modified xsi:type="dcterms:W3CDTF">2020-12-03T13:41:00Z</dcterms:modified>
</cp:coreProperties>
</file>